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01FA" w:rsidRPr="003A074F" w:rsidRDefault="008801FA" w:rsidP="003A074F">
      <w:pPr>
        <w:ind w:left="2268" w:right="1841"/>
        <w:jc w:val="both"/>
        <w:rPr>
          <w:rFonts w:ascii="Tahoma" w:hAnsi="Tahoma" w:cs="Tahoma"/>
          <w:i/>
          <w:sz w:val="20"/>
          <w:szCs w:val="20"/>
        </w:rPr>
      </w:pPr>
      <w:r w:rsidRPr="003A074F">
        <w:rPr>
          <w:rFonts w:ascii="Tahoma" w:hAnsi="Tahoma" w:cs="Tahoma"/>
          <w:b/>
          <w:i/>
          <w:sz w:val="20"/>
          <w:szCs w:val="20"/>
        </w:rPr>
        <w:t>Sumilla:</w:t>
      </w:r>
      <w:r w:rsidRPr="003A074F">
        <w:rPr>
          <w:rFonts w:ascii="Tahoma" w:hAnsi="Tahoma" w:cs="Tahoma"/>
          <w:i/>
          <w:sz w:val="20"/>
          <w:szCs w:val="20"/>
        </w:rPr>
        <w:t xml:space="preserve"> “</w:t>
      </w:r>
      <w:r w:rsidR="003A074F" w:rsidRPr="003A074F">
        <w:rPr>
          <w:rFonts w:ascii="Tahoma" w:hAnsi="Tahoma" w:cs="Tahoma"/>
          <w:i/>
          <w:sz w:val="20"/>
          <w:szCs w:val="20"/>
        </w:rPr>
        <w:t>Es pasible de sanción el contratista que incumple injustificadamente el contrato, pese a haber sido requerido previamente para que ejecute las prestaciones a su cargo.</w:t>
      </w:r>
      <w:r w:rsidRPr="003A074F">
        <w:rPr>
          <w:rFonts w:ascii="Tahoma" w:hAnsi="Tahoma" w:cs="Tahoma"/>
          <w:i/>
          <w:sz w:val="20"/>
          <w:szCs w:val="20"/>
        </w:rPr>
        <w:t>”</w:t>
      </w:r>
    </w:p>
    <w:p w:rsidR="008801FA" w:rsidRPr="003A074F" w:rsidRDefault="008801FA" w:rsidP="008801FA">
      <w:pPr>
        <w:pStyle w:val="Textoindependiente3"/>
        <w:spacing w:after="0"/>
        <w:rPr>
          <w:rFonts w:ascii="Tahoma" w:hAnsi="Tahoma" w:cs="Tahoma"/>
          <w:i/>
          <w:sz w:val="20"/>
          <w:szCs w:val="20"/>
          <w:lang w:val="es-ES"/>
        </w:rPr>
      </w:pPr>
    </w:p>
    <w:p w:rsidR="008801FA" w:rsidRPr="003A074F" w:rsidRDefault="008801FA" w:rsidP="008801FA">
      <w:pPr>
        <w:pStyle w:val="Textoindependiente3"/>
        <w:spacing w:after="0"/>
        <w:ind w:left="5387"/>
        <w:jc w:val="both"/>
        <w:rPr>
          <w:rFonts w:ascii="Tahoma" w:hAnsi="Tahoma" w:cs="Tahoma"/>
          <w:b/>
          <w:sz w:val="20"/>
          <w:szCs w:val="20"/>
        </w:rPr>
      </w:pPr>
      <w:r w:rsidRPr="003A074F">
        <w:rPr>
          <w:rFonts w:ascii="Tahoma" w:hAnsi="Tahoma" w:cs="Tahoma"/>
          <w:b/>
          <w:sz w:val="20"/>
          <w:szCs w:val="20"/>
        </w:rPr>
        <w:t>Lima,</w:t>
      </w:r>
      <w:r w:rsidR="00836AB8">
        <w:rPr>
          <w:rFonts w:ascii="Tahoma" w:hAnsi="Tahoma" w:cs="Tahoma"/>
          <w:b/>
          <w:sz w:val="20"/>
          <w:szCs w:val="20"/>
        </w:rPr>
        <w:t xml:space="preserve"> 27 de Abril de 2011</w:t>
      </w:r>
    </w:p>
    <w:p w:rsidR="008801FA" w:rsidRPr="003A074F" w:rsidRDefault="008801FA" w:rsidP="008801FA">
      <w:pPr>
        <w:pStyle w:val="Textoindependiente3"/>
        <w:spacing w:after="0"/>
        <w:ind w:left="5387"/>
        <w:jc w:val="both"/>
        <w:rPr>
          <w:rFonts w:ascii="Tahoma" w:hAnsi="Tahoma" w:cs="Tahoma"/>
          <w:b/>
          <w:sz w:val="20"/>
          <w:szCs w:val="20"/>
        </w:rPr>
      </w:pPr>
    </w:p>
    <w:p w:rsidR="008801FA" w:rsidRPr="00673A30" w:rsidRDefault="008801FA" w:rsidP="008801FA">
      <w:pPr>
        <w:ind w:left="567" w:firstLine="567"/>
        <w:contextualSpacing/>
        <w:jc w:val="both"/>
        <w:rPr>
          <w:rFonts w:ascii="Tahoma" w:hAnsi="Tahoma" w:cs="Tahoma"/>
          <w:sz w:val="20"/>
          <w:szCs w:val="20"/>
        </w:rPr>
      </w:pPr>
      <w:r w:rsidRPr="003A074F">
        <w:rPr>
          <w:rFonts w:ascii="Tahoma" w:hAnsi="Tahoma" w:cs="Tahoma"/>
          <w:b/>
          <w:sz w:val="20"/>
          <w:szCs w:val="20"/>
        </w:rPr>
        <w:t xml:space="preserve">Visto </w:t>
      </w:r>
      <w:r w:rsidRPr="003A074F">
        <w:rPr>
          <w:rFonts w:ascii="Tahoma" w:hAnsi="Tahoma" w:cs="Tahoma"/>
          <w:sz w:val="20"/>
          <w:szCs w:val="20"/>
        </w:rPr>
        <w:t xml:space="preserve">en sesión de fecha 27 de abril de 2011, la Primera Sala del Tribunal de Contrataciones del Estado el Expediente N° 1617-2008-TC; sobre el procedimiento administrativo sancionador iniciado contra </w:t>
      </w:r>
      <w:r w:rsidRPr="003A074F">
        <w:rPr>
          <w:rFonts w:ascii="Tahoma" w:hAnsi="Tahoma" w:cs="Tahoma"/>
          <w:sz w:val="20"/>
          <w:szCs w:val="20"/>
          <w:lang w:val="es-ES_tradnl"/>
        </w:rPr>
        <w:t>ASUNCION CONTRATISTAS GENERALES SAC</w:t>
      </w:r>
      <w:r w:rsidRPr="003A074F">
        <w:rPr>
          <w:rFonts w:ascii="Tahoma" w:hAnsi="Tahoma" w:cs="Tahoma"/>
          <w:sz w:val="20"/>
          <w:szCs w:val="20"/>
        </w:rPr>
        <w:t xml:space="preserve"> por haber dado lugar a la resolución del Contrato EXO Nº 001-2007-VIVIENDA-OGA-UE002, por razón atribuible a su parte</w:t>
      </w:r>
      <w:r w:rsidR="00673A30" w:rsidRPr="003A074F">
        <w:rPr>
          <w:rFonts w:ascii="Tahoma" w:hAnsi="Tahoma" w:cs="Tahoma"/>
          <w:sz w:val="20"/>
          <w:szCs w:val="20"/>
        </w:rPr>
        <w:t>,</w:t>
      </w:r>
      <w:r w:rsidRPr="003A074F">
        <w:rPr>
          <w:rFonts w:ascii="Tahoma" w:hAnsi="Tahoma" w:cs="Tahoma"/>
          <w:sz w:val="20"/>
          <w:szCs w:val="20"/>
        </w:rPr>
        <w:t xml:space="preserve"> en </w:t>
      </w:r>
      <w:r w:rsidR="00673A30" w:rsidRPr="003A074F">
        <w:rPr>
          <w:rFonts w:ascii="Tahoma" w:hAnsi="Tahoma" w:cs="Tahoma"/>
          <w:sz w:val="20"/>
          <w:szCs w:val="20"/>
        </w:rPr>
        <w:t>relación</w:t>
      </w:r>
      <w:r w:rsidRPr="003A074F">
        <w:rPr>
          <w:rFonts w:ascii="Tahoma" w:hAnsi="Tahoma" w:cs="Tahoma"/>
          <w:sz w:val="20"/>
          <w:szCs w:val="20"/>
        </w:rPr>
        <w:t xml:space="preserve"> </w:t>
      </w:r>
      <w:r w:rsidR="00673A30" w:rsidRPr="003A074F">
        <w:rPr>
          <w:rFonts w:ascii="Tahoma" w:hAnsi="Tahoma" w:cs="Tahoma"/>
          <w:sz w:val="20"/>
          <w:szCs w:val="20"/>
        </w:rPr>
        <w:t>a</w:t>
      </w:r>
      <w:r w:rsidRPr="003A074F">
        <w:rPr>
          <w:rFonts w:ascii="Tahoma" w:hAnsi="Tahoma" w:cs="Tahoma"/>
          <w:sz w:val="20"/>
          <w:szCs w:val="20"/>
        </w:rPr>
        <w:t xml:space="preserve"> la Licitación</w:t>
      </w:r>
      <w:r w:rsidRPr="00673A30">
        <w:rPr>
          <w:rFonts w:ascii="Tahoma" w:hAnsi="Tahoma" w:cs="Tahoma"/>
          <w:sz w:val="20"/>
          <w:szCs w:val="20"/>
        </w:rPr>
        <w:t xml:space="preserve"> Pública Nº 001-2007-VIVIENDA-OGA-UE002, proceso exonerado por situación de emergencia, para la adquisición de mil setecientos (1700) módulos de vivienda a ser distribuidos en las provincias de Cañete, Chincha, Pisco e Ica producto del sismo ocurrido el 15 de agosto del 2007 en el sur del país en el marco del D.U. Nº 032-2007</w:t>
      </w:r>
    </w:p>
    <w:p w:rsidR="008801FA" w:rsidRPr="00673A30" w:rsidRDefault="008801FA" w:rsidP="008801FA">
      <w:pPr>
        <w:ind w:firstLine="567"/>
        <w:contextualSpacing/>
        <w:jc w:val="both"/>
        <w:rPr>
          <w:rFonts w:ascii="Tahoma" w:hAnsi="Tahoma" w:cs="Tahoma"/>
          <w:b/>
          <w:sz w:val="20"/>
          <w:szCs w:val="20"/>
          <w:lang w:val="es-ES_tradnl"/>
        </w:rPr>
      </w:pPr>
    </w:p>
    <w:p w:rsidR="008801FA" w:rsidRPr="00673A30" w:rsidRDefault="008801FA" w:rsidP="008801FA">
      <w:pPr>
        <w:pStyle w:val="Prrafodelista"/>
        <w:numPr>
          <w:ilvl w:val="0"/>
          <w:numId w:val="1"/>
        </w:numPr>
        <w:ind w:left="567" w:hanging="425"/>
        <w:rPr>
          <w:rFonts w:ascii="Tahoma" w:hAnsi="Tahoma" w:cs="Tahoma"/>
          <w:b/>
          <w:sz w:val="20"/>
        </w:rPr>
      </w:pPr>
      <w:r w:rsidRPr="00673A30">
        <w:rPr>
          <w:rFonts w:ascii="Tahoma" w:hAnsi="Tahoma" w:cs="Tahoma"/>
          <w:b/>
          <w:sz w:val="20"/>
        </w:rPr>
        <w:t>ANTECEDENTES:</w:t>
      </w:r>
    </w:p>
    <w:p w:rsidR="008801FA" w:rsidRPr="00673A30" w:rsidRDefault="008801FA" w:rsidP="008801FA">
      <w:pPr>
        <w:jc w:val="both"/>
        <w:rPr>
          <w:rFonts w:ascii="Tahoma" w:hAnsi="Tahoma" w:cs="Tahoma"/>
          <w:b/>
          <w:sz w:val="20"/>
          <w:szCs w:val="20"/>
          <w:lang w:eastAsia="es-PE"/>
        </w:rPr>
      </w:pPr>
    </w:p>
    <w:p w:rsidR="00673A30" w:rsidRPr="00673A30" w:rsidRDefault="00673A30" w:rsidP="00673A30">
      <w:pPr>
        <w:pStyle w:val="Prrafodelista"/>
        <w:widowControl/>
        <w:numPr>
          <w:ilvl w:val="0"/>
          <w:numId w:val="11"/>
        </w:numPr>
        <w:suppressAutoHyphens w:val="0"/>
        <w:ind w:left="567" w:hanging="567"/>
        <w:contextualSpacing/>
        <w:jc w:val="both"/>
        <w:rPr>
          <w:rFonts w:ascii="Tahoma" w:hAnsi="Tahoma" w:cs="Tahoma"/>
          <w:sz w:val="20"/>
        </w:rPr>
      </w:pPr>
      <w:r w:rsidRPr="00673A30">
        <w:rPr>
          <w:rFonts w:ascii="Tahoma" w:hAnsi="Tahoma" w:cs="Tahoma"/>
          <w:sz w:val="20"/>
        </w:rPr>
        <w:t xml:space="preserve">El 31 de octubre de 2007, el Ministerio de Vivienda Construcción y Saneamiento, en adelante la Entidad, aprobó la exoneración del proceso de Licitación Pública Nº 001-2007-VIVIENDA-OGA-UE002, por situación de emergencia, para la adquisición de mil setecientos (1700) módulos de vivienda a ser distribuidos en las provincias de Cañete, Chincha, Pisco e Ica producto del sismo ocurrido el 15 de agosto del 2007 en el sur del país en el marco del D.U. Nº 032-2007, por un valor referencial ascendente a </w:t>
      </w:r>
      <w:r w:rsidRPr="00673A30">
        <w:rPr>
          <w:rFonts w:ascii="Tahoma" w:hAnsi="Tahoma" w:cs="Tahoma"/>
          <w:bCs/>
          <w:sz w:val="20"/>
        </w:rPr>
        <w:t>S/. 10’307,000.00 (Diez millones trescientos siete mil con 00/100 Nuevos Soles)</w:t>
      </w:r>
      <w:r w:rsidRPr="00673A30">
        <w:rPr>
          <w:rFonts w:ascii="Tahoma" w:hAnsi="Tahoma" w:cs="Tahoma"/>
          <w:sz w:val="20"/>
        </w:rPr>
        <w:t>, incluido los impuesto de Ley.</w:t>
      </w:r>
    </w:p>
    <w:p w:rsidR="00673A30" w:rsidRPr="00673A30" w:rsidRDefault="00673A30" w:rsidP="00673A30">
      <w:pPr>
        <w:pStyle w:val="Prrafodelista"/>
        <w:ind w:left="567"/>
        <w:contextualSpacing/>
        <w:jc w:val="both"/>
        <w:rPr>
          <w:rFonts w:ascii="Tahoma" w:hAnsi="Tahoma" w:cs="Tahoma"/>
          <w:sz w:val="20"/>
        </w:rPr>
      </w:pPr>
    </w:p>
    <w:p w:rsidR="00673A30" w:rsidRPr="00673A30" w:rsidRDefault="00673A30" w:rsidP="00673A30">
      <w:pPr>
        <w:pStyle w:val="Prrafodelista"/>
        <w:widowControl/>
        <w:numPr>
          <w:ilvl w:val="0"/>
          <w:numId w:val="11"/>
        </w:numPr>
        <w:suppressAutoHyphens w:val="0"/>
        <w:ind w:left="567" w:hanging="567"/>
        <w:contextualSpacing/>
        <w:jc w:val="both"/>
        <w:rPr>
          <w:rFonts w:ascii="Tahoma" w:hAnsi="Tahoma" w:cs="Tahoma"/>
          <w:sz w:val="20"/>
        </w:rPr>
      </w:pPr>
      <w:r w:rsidRPr="00673A30">
        <w:rPr>
          <w:rFonts w:ascii="Tahoma" w:hAnsi="Tahoma" w:cs="Tahoma"/>
          <w:sz w:val="20"/>
        </w:rPr>
        <w:t>Con fecha 12 de noviembre de 2007 la Entidad suscribió con la empresa ASUNCION CONTRATISTAS GENERALES, en adelante, la Contratista, el Contrato EXO Nº 001-2007-VIVIENDA-OGA-UE002 por el monto total de S/. 6’710,000.00 (Seis millones setecientos diez mil con 00/100 Nuevos Soles), y con la empresa INVERSIONES Y CONSTRUCTORES SINALCE.A.C. el Contrato EXO Nº 002-2007-VIVIENDA-OGA-UE002 por un monto total de S/. 3`597,000.00 (Tres millones quinientos noventa y siete mil con 00/100 Nuevos Soles).</w:t>
      </w:r>
    </w:p>
    <w:p w:rsidR="00673A30" w:rsidRPr="00673A30" w:rsidRDefault="00673A30" w:rsidP="00673A30">
      <w:pPr>
        <w:contextualSpacing/>
        <w:jc w:val="both"/>
        <w:rPr>
          <w:rFonts w:ascii="Tahoma" w:hAnsi="Tahoma" w:cs="Tahoma"/>
          <w:sz w:val="20"/>
          <w:szCs w:val="20"/>
        </w:rPr>
      </w:pPr>
    </w:p>
    <w:p w:rsidR="00673A30" w:rsidRPr="00673A30" w:rsidRDefault="00673A30" w:rsidP="00673A30">
      <w:pPr>
        <w:pStyle w:val="Prrafodelista"/>
        <w:widowControl/>
        <w:numPr>
          <w:ilvl w:val="0"/>
          <w:numId w:val="11"/>
        </w:numPr>
        <w:suppressAutoHyphens w:val="0"/>
        <w:ind w:left="567" w:hanging="567"/>
        <w:contextualSpacing/>
        <w:jc w:val="both"/>
        <w:rPr>
          <w:rFonts w:ascii="Tahoma" w:hAnsi="Tahoma" w:cs="Tahoma"/>
          <w:sz w:val="20"/>
        </w:rPr>
      </w:pPr>
      <w:r w:rsidRPr="00673A30">
        <w:rPr>
          <w:rFonts w:ascii="Tahoma" w:hAnsi="Tahoma" w:cs="Tahoma"/>
          <w:sz w:val="20"/>
        </w:rPr>
        <w:t>A través del Contrato EXO Nº 001-2007-VIVIENDA-OGA-UE002 la Contratista se obligó a entregar e instalar 1100 módulos de vivienda, a ser distribuidos en las Provincias de Pisco y el Departamento de Ica en un plazo de entrega de 30 días.</w:t>
      </w:r>
    </w:p>
    <w:p w:rsidR="00673A30" w:rsidRPr="00673A30" w:rsidRDefault="00673A30" w:rsidP="00673A30">
      <w:pPr>
        <w:pStyle w:val="Prrafodelista"/>
        <w:jc w:val="both"/>
        <w:rPr>
          <w:rFonts w:ascii="Tahoma" w:hAnsi="Tahoma" w:cs="Tahoma"/>
          <w:sz w:val="20"/>
        </w:rPr>
      </w:pPr>
    </w:p>
    <w:p w:rsidR="00673A30" w:rsidRPr="00673A30" w:rsidRDefault="00673A30" w:rsidP="00673A30">
      <w:pPr>
        <w:pStyle w:val="Prrafodelista"/>
        <w:widowControl/>
        <w:numPr>
          <w:ilvl w:val="0"/>
          <w:numId w:val="11"/>
        </w:numPr>
        <w:suppressAutoHyphens w:val="0"/>
        <w:ind w:left="567" w:hanging="567"/>
        <w:contextualSpacing/>
        <w:jc w:val="both"/>
        <w:rPr>
          <w:rFonts w:ascii="Tahoma" w:hAnsi="Tahoma" w:cs="Tahoma"/>
          <w:sz w:val="20"/>
        </w:rPr>
      </w:pPr>
      <w:r w:rsidRPr="00673A30">
        <w:rPr>
          <w:rFonts w:ascii="Tahoma" w:hAnsi="Tahoma" w:cs="Tahoma"/>
          <w:sz w:val="20"/>
        </w:rPr>
        <w:t xml:space="preserve">El 10 de diciembre de 2007 la Contratista remitió a la Entidad una Carta S/N solicitando una ampliación en el plazo de entrega por 30 días, a fin de cumplir con la entrega restante de los bienes; manifestando que la empresa SODIMAC, proveedora de los materiales necesarios para la fabricación de los módulos de vivienda, no podía abastecer la cantidad de demanda generada a causa del siniestro ocurrido, ya que el consumo generado equivalía a dos meses de ventas en el departamento de Lima, y que adicionalmente a ello, se debía tener en cuenta la huelga de estibadores en el Puerto del Callao; hechos que impedían el cumplimiento de la obligación contractual; por lo que dicha situación y el hecho de que la ubicación física donde se instalarían los módulos aun no se encontraban libres de desmonte, motivaron la decisión de la Entidad de acceder a </w:t>
      </w:r>
      <w:r w:rsidRPr="00673A30">
        <w:rPr>
          <w:rFonts w:ascii="Tahoma" w:hAnsi="Tahoma" w:cs="Tahoma"/>
          <w:sz w:val="20"/>
        </w:rPr>
        <w:lastRenderedPageBreak/>
        <w:t>la solicitud de ampliación en el plazo de entrega, suscribiendo con la Contratista la Addenda Nº 001 el 12 de diciembre de 2007.</w:t>
      </w:r>
    </w:p>
    <w:p w:rsidR="00673A30" w:rsidRPr="00673A30" w:rsidRDefault="00673A30" w:rsidP="00673A30">
      <w:pPr>
        <w:pStyle w:val="Prrafodelista"/>
        <w:jc w:val="both"/>
        <w:rPr>
          <w:rFonts w:ascii="Tahoma" w:hAnsi="Tahoma" w:cs="Tahoma"/>
          <w:sz w:val="20"/>
        </w:rPr>
      </w:pPr>
    </w:p>
    <w:p w:rsidR="00673A30" w:rsidRPr="00673A30" w:rsidRDefault="00673A30" w:rsidP="00673A30">
      <w:pPr>
        <w:pStyle w:val="Prrafodelista"/>
        <w:widowControl/>
        <w:numPr>
          <w:ilvl w:val="0"/>
          <w:numId w:val="11"/>
        </w:numPr>
        <w:suppressAutoHyphens w:val="0"/>
        <w:ind w:left="567" w:hanging="567"/>
        <w:contextualSpacing/>
        <w:jc w:val="both"/>
        <w:rPr>
          <w:rFonts w:ascii="Tahoma" w:hAnsi="Tahoma" w:cs="Tahoma"/>
          <w:sz w:val="20"/>
        </w:rPr>
      </w:pPr>
      <w:r w:rsidRPr="00673A30">
        <w:rPr>
          <w:rFonts w:ascii="Tahoma" w:hAnsi="Tahoma" w:cs="Tahoma"/>
          <w:sz w:val="20"/>
        </w:rPr>
        <w:t>El 10 de enero de 2007 la Contratista remitió a la Entidad una Carta S/N solicitando una nueva ampliación de plazo, de 25 días, a fin de cumplir con la entrega total de los bienes; manifestando que la empresa SODIMAC, proveedora de los materiales, había rebasado la capacidad de producción de los materiales necesarios debido a la fuerte demanda originando una carta de compromiso de su parte el día 09 de enero manifestando ese hecho. Dicha situación motivó la decisión de la Entidad de volver a conceder una nueva ampliación en el plazo de entrega, suscribiendo con la Contratista la Addenda Nº 002 el 11 de enero de 2008 y estableciendo como nueva fecha de entrega total de los bienes el 4 de febrero de 2008.</w:t>
      </w:r>
    </w:p>
    <w:p w:rsidR="00673A30" w:rsidRPr="00673A30" w:rsidRDefault="00673A30" w:rsidP="00673A30">
      <w:pPr>
        <w:pStyle w:val="Prrafodelista"/>
        <w:jc w:val="both"/>
        <w:rPr>
          <w:rFonts w:ascii="Tahoma" w:hAnsi="Tahoma" w:cs="Tahoma"/>
          <w:sz w:val="20"/>
        </w:rPr>
      </w:pPr>
    </w:p>
    <w:p w:rsidR="00673A30" w:rsidRPr="00673A30" w:rsidRDefault="00673A30" w:rsidP="00673A30">
      <w:pPr>
        <w:pStyle w:val="Prrafodelista"/>
        <w:widowControl/>
        <w:numPr>
          <w:ilvl w:val="0"/>
          <w:numId w:val="11"/>
        </w:numPr>
        <w:suppressAutoHyphens w:val="0"/>
        <w:ind w:left="567" w:hanging="567"/>
        <w:contextualSpacing/>
        <w:jc w:val="both"/>
        <w:rPr>
          <w:rFonts w:ascii="Tahoma" w:hAnsi="Tahoma" w:cs="Tahoma"/>
          <w:sz w:val="20"/>
        </w:rPr>
      </w:pPr>
      <w:r w:rsidRPr="00673A30">
        <w:rPr>
          <w:rFonts w:ascii="Tahoma" w:hAnsi="Tahoma" w:cs="Tahoma"/>
          <w:sz w:val="20"/>
        </w:rPr>
        <w:t xml:space="preserve">El 1 de febrero de 2008, la Contratista solicita una tercera ampliación en el plazo de entrega manifestando que producto de un accidente automovilístico ocurrido el 31 de enero de 2008 se rompieron 700 vidrios para 350 módulos que debían entregarse en el plazo convenido; por lo que en atención a la Carta remitida por la empresa proveedora de los materiales perjudicados, se estaría cumpliendo con la entrega total en menos de siete (07) días. </w:t>
      </w:r>
    </w:p>
    <w:p w:rsidR="00673A30" w:rsidRPr="00673A30" w:rsidRDefault="00673A30" w:rsidP="00673A30">
      <w:pPr>
        <w:pStyle w:val="Prrafodelista"/>
        <w:jc w:val="both"/>
        <w:rPr>
          <w:rFonts w:ascii="Tahoma" w:hAnsi="Tahoma" w:cs="Tahoma"/>
          <w:sz w:val="20"/>
        </w:rPr>
      </w:pPr>
    </w:p>
    <w:p w:rsidR="00673A30" w:rsidRPr="00673A30" w:rsidRDefault="00673A30" w:rsidP="00673A30">
      <w:pPr>
        <w:pStyle w:val="Prrafodelista"/>
        <w:widowControl/>
        <w:numPr>
          <w:ilvl w:val="0"/>
          <w:numId w:val="11"/>
        </w:numPr>
        <w:suppressAutoHyphens w:val="0"/>
        <w:ind w:left="567" w:hanging="567"/>
        <w:contextualSpacing/>
        <w:jc w:val="both"/>
        <w:rPr>
          <w:rFonts w:ascii="Tahoma" w:hAnsi="Tahoma" w:cs="Tahoma"/>
          <w:sz w:val="20"/>
        </w:rPr>
      </w:pPr>
      <w:r w:rsidRPr="00673A30">
        <w:rPr>
          <w:rFonts w:ascii="Tahoma" w:hAnsi="Tahoma" w:cs="Tahoma"/>
          <w:sz w:val="20"/>
        </w:rPr>
        <w:t xml:space="preserve">El 05 de febrero de 2008, la Contratista remite a la Entidad Carta S/N solicitando se le otorgue la conformidad de recepción del 100% de los bienes. En ese sentido, el 06 de febrero de 2008 la Entidad remite el Oficio Nº 078-2008-VIVIENDA-OGA convocando al Contratista a presentarse el 09 de febrero de 2008 a fin que se lleve a cabo el Acta de Conformidad en las provincias respectivas. </w:t>
      </w:r>
    </w:p>
    <w:p w:rsidR="00673A30" w:rsidRPr="00673A30" w:rsidRDefault="00673A30" w:rsidP="00673A30">
      <w:pPr>
        <w:pStyle w:val="Prrafodelista"/>
        <w:jc w:val="both"/>
        <w:rPr>
          <w:rFonts w:ascii="Tahoma" w:hAnsi="Tahoma" w:cs="Tahoma"/>
          <w:sz w:val="20"/>
        </w:rPr>
      </w:pPr>
    </w:p>
    <w:p w:rsidR="00673A30" w:rsidRPr="00673A30" w:rsidRDefault="00673A30" w:rsidP="00673A30">
      <w:pPr>
        <w:pStyle w:val="Prrafodelista"/>
        <w:widowControl/>
        <w:numPr>
          <w:ilvl w:val="0"/>
          <w:numId w:val="11"/>
        </w:numPr>
        <w:suppressAutoHyphens w:val="0"/>
        <w:ind w:left="567" w:hanging="567"/>
        <w:contextualSpacing/>
        <w:jc w:val="both"/>
        <w:rPr>
          <w:rFonts w:ascii="Tahoma" w:hAnsi="Tahoma" w:cs="Tahoma"/>
          <w:sz w:val="20"/>
        </w:rPr>
      </w:pPr>
      <w:r w:rsidRPr="00673A30">
        <w:rPr>
          <w:rFonts w:ascii="Tahoma" w:hAnsi="Tahoma" w:cs="Tahoma"/>
          <w:sz w:val="20"/>
        </w:rPr>
        <w:t>De otro lado, mediante Oficio Nº 075-2008-VIVIENDA-OGA diligenciada notarialmente el 06 de febrero de 2008, la Entidad requirió a la Contratista que cumpla con la totalidad de la prestación, dándole un plazo de cinco (05) días bajo apercibimiento de resolver el contrato por incumplimiento, toda vez que el plazo contractual había vencido el 4 de febrero de 2008.</w:t>
      </w:r>
    </w:p>
    <w:p w:rsidR="00673A30" w:rsidRPr="00673A30" w:rsidRDefault="00673A30" w:rsidP="00673A30">
      <w:pPr>
        <w:pStyle w:val="Prrafodelista"/>
        <w:ind w:left="567"/>
        <w:contextualSpacing/>
        <w:jc w:val="both"/>
        <w:rPr>
          <w:rFonts w:ascii="Tahoma" w:hAnsi="Tahoma" w:cs="Tahoma"/>
          <w:sz w:val="20"/>
        </w:rPr>
      </w:pPr>
    </w:p>
    <w:p w:rsidR="00673A30" w:rsidRPr="00673A30" w:rsidRDefault="00673A30" w:rsidP="00673A30">
      <w:pPr>
        <w:pStyle w:val="Prrafodelista"/>
        <w:widowControl/>
        <w:numPr>
          <w:ilvl w:val="0"/>
          <w:numId w:val="11"/>
        </w:numPr>
        <w:suppressAutoHyphens w:val="0"/>
        <w:ind w:left="567" w:hanging="567"/>
        <w:contextualSpacing/>
        <w:jc w:val="both"/>
        <w:rPr>
          <w:rFonts w:ascii="Tahoma" w:hAnsi="Tahoma" w:cs="Tahoma"/>
          <w:sz w:val="20"/>
        </w:rPr>
      </w:pPr>
      <w:r w:rsidRPr="00673A30">
        <w:rPr>
          <w:rFonts w:ascii="Tahoma" w:hAnsi="Tahoma" w:cs="Tahoma"/>
          <w:sz w:val="20"/>
        </w:rPr>
        <w:t>Mediante Memorandum Nº 341-2008-VIVIENDA/VMVU-DNV del 18 de febrero de 2008  se informa que el 09 de febrero de 2008 se reunieron en las provincias respectivas representantes de la Contratista y la Entidad; concluyendo que a pesar que la Contratista solicitó la conformidad del 100% de la prestación, ésta no cumplió con la entrega total de los bienes materia del contrato, observándose además que 255 módulos aun se encontraban en proceso de instalación, ya que se encontraban sin puertas, ventanas, ni pintura y en algunos casos aun se estaban armando los mismos; por lo que no se dio la conformidad de entrega levantándose en su lugar un Acta de Constatación.</w:t>
      </w:r>
    </w:p>
    <w:p w:rsidR="00673A30" w:rsidRPr="00673A30" w:rsidRDefault="00673A30" w:rsidP="00673A30">
      <w:pPr>
        <w:jc w:val="both"/>
        <w:rPr>
          <w:rFonts w:ascii="Tahoma" w:hAnsi="Tahoma" w:cs="Tahoma"/>
          <w:sz w:val="20"/>
          <w:szCs w:val="20"/>
        </w:rPr>
      </w:pPr>
    </w:p>
    <w:p w:rsidR="00673A30" w:rsidRPr="00673A30" w:rsidRDefault="00673A30" w:rsidP="00673A30">
      <w:pPr>
        <w:pStyle w:val="Prrafodelista"/>
        <w:widowControl/>
        <w:numPr>
          <w:ilvl w:val="0"/>
          <w:numId w:val="11"/>
        </w:numPr>
        <w:suppressAutoHyphens w:val="0"/>
        <w:ind w:left="567" w:hanging="567"/>
        <w:contextualSpacing/>
        <w:jc w:val="both"/>
        <w:rPr>
          <w:rFonts w:ascii="Tahoma" w:hAnsi="Tahoma" w:cs="Tahoma"/>
          <w:sz w:val="20"/>
        </w:rPr>
      </w:pPr>
      <w:r w:rsidRPr="00673A30">
        <w:rPr>
          <w:rFonts w:ascii="Tahoma" w:hAnsi="Tahoma" w:cs="Tahoma"/>
          <w:sz w:val="20"/>
        </w:rPr>
        <w:t>Mediante Carta Notarial Nº 025-2008-VIVIENDA-OGA del 27 de febrero de 2008, la Entidad comunicó a la Contratista su decisión de declarar resuelto el Contrato EXO Nº 001-2007/VIVIENDA-OGA-UE.002 ante el incumplimiento de ésta de sus obligaciones contractuales que se encuentra bajo el supuesto del artículo 222 del Reglamento de la Ley de Contrataciones y Adquisiciones del Estado, aprobado por Decreto Supremo Nº 084-2004-PCM.</w:t>
      </w:r>
    </w:p>
    <w:p w:rsidR="00673A30" w:rsidRPr="00673A30" w:rsidRDefault="00673A30" w:rsidP="00673A30">
      <w:pPr>
        <w:pStyle w:val="Prrafodelista"/>
        <w:jc w:val="both"/>
        <w:rPr>
          <w:rFonts w:ascii="Tahoma" w:hAnsi="Tahoma" w:cs="Tahoma"/>
          <w:sz w:val="20"/>
        </w:rPr>
      </w:pPr>
    </w:p>
    <w:p w:rsidR="00673A30" w:rsidRPr="00673A30" w:rsidRDefault="00673A30" w:rsidP="00673A30">
      <w:pPr>
        <w:pStyle w:val="Prrafodelista"/>
        <w:widowControl/>
        <w:numPr>
          <w:ilvl w:val="0"/>
          <w:numId w:val="11"/>
        </w:numPr>
        <w:suppressAutoHyphens w:val="0"/>
        <w:ind w:left="567" w:hanging="567"/>
        <w:contextualSpacing/>
        <w:jc w:val="both"/>
        <w:rPr>
          <w:rFonts w:ascii="Tahoma" w:hAnsi="Tahoma" w:cs="Tahoma"/>
          <w:sz w:val="20"/>
        </w:rPr>
      </w:pPr>
      <w:r w:rsidRPr="00673A30">
        <w:rPr>
          <w:rFonts w:ascii="Tahoma" w:hAnsi="Tahoma" w:cs="Tahoma"/>
          <w:sz w:val="20"/>
        </w:rPr>
        <w:lastRenderedPageBreak/>
        <w:t>Mediante escrito presentado el 05 de mayo de 2008, la Entidad puso en conocimiento de este Tribunal de Contrataciones del Estado, en adelante el Tribunal, los hechos anteriormente descritos, solicitando la correspondiente aplicación de sanción para la Contratista por el incumplimiento de sus obligaciones contractuales.</w:t>
      </w:r>
    </w:p>
    <w:p w:rsidR="00673A30" w:rsidRPr="00673A30" w:rsidRDefault="00673A30" w:rsidP="00673A30">
      <w:pPr>
        <w:pStyle w:val="Prrafodelista"/>
        <w:jc w:val="both"/>
        <w:rPr>
          <w:rFonts w:ascii="Tahoma" w:hAnsi="Tahoma" w:cs="Tahoma"/>
          <w:sz w:val="20"/>
        </w:rPr>
      </w:pPr>
    </w:p>
    <w:p w:rsidR="00673A30" w:rsidRPr="00673A30" w:rsidRDefault="00673A30" w:rsidP="00673A30">
      <w:pPr>
        <w:pStyle w:val="Prrafodelista"/>
        <w:widowControl/>
        <w:numPr>
          <w:ilvl w:val="0"/>
          <w:numId w:val="11"/>
        </w:numPr>
        <w:suppressAutoHyphens w:val="0"/>
        <w:ind w:left="567" w:hanging="567"/>
        <w:contextualSpacing/>
        <w:jc w:val="both"/>
        <w:rPr>
          <w:rFonts w:ascii="Tahoma" w:hAnsi="Tahoma" w:cs="Tahoma"/>
          <w:sz w:val="20"/>
        </w:rPr>
      </w:pPr>
      <w:r w:rsidRPr="00673A30">
        <w:rPr>
          <w:rFonts w:ascii="Tahoma" w:hAnsi="Tahoma" w:cs="Tahoma"/>
          <w:sz w:val="20"/>
        </w:rPr>
        <w:t>Por decreto de fecha 08 de mayo de 2008, la Secretaría del Tribunal requirió a la Entidad que cumpla con subsanar su comunicación, remitiendo copia de la carta notarial mediante la cual se requirió el cumplimiento de las obligaciones contractuales de la Contratista; asimismo, señalar si la presente controversia había sido sometida a conciliación o arbitraje, y remitir, de ser el caso, el acta de conciliación o la demanda arbitral y el acta de instalación del tribunal arbitral correspondiente.</w:t>
      </w:r>
    </w:p>
    <w:p w:rsidR="00673A30" w:rsidRPr="00673A30" w:rsidRDefault="00673A30" w:rsidP="00673A30">
      <w:pPr>
        <w:pStyle w:val="Prrafodelista"/>
        <w:jc w:val="both"/>
        <w:rPr>
          <w:rFonts w:ascii="Tahoma" w:hAnsi="Tahoma" w:cs="Tahoma"/>
          <w:sz w:val="20"/>
        </w:rPr>
      </w:pPr>
    </w:p>
    <w:p w:rsidR="00673A30" w:rsidRPr="00673A30" w:rsidRDefault="00673A30" w:rsidP="00673A30">
      <w:pPr>
        <w:pStyle w:val="Prrafodelista"/>
        <w:widowControl/>
        <w:numPr>
          <w:ilvl w:val="0"/>
          <w:numId w:val="11"/>
        </w:numPr>
        <w:suppressAutoHyphens w:val="0"/>
        <w:ind w:left="567" w:hanging="567"/>
        <w:contextualSpacing/>
        <w:jc w:val="both"/>
        <w:rPr>
          <w:rFonts w:ascii="Tahoma" w:hAnsi="Tahoma" w:cs="Tahoma"/>
          <w:sz w:val="20"/>
        </w:rPr>
      </w:pPr>
      <w:r w:rsidRPr="00673A30">
        <w:rPr>
          <w:rFonts w:ascii="Tahoma" w:hAnsi="Tahoma" w:cs="Tahoma"/>
          <w:sz w:val="20"/>
        </w:rPr>
        <w:t xml:space="preserve">Con Oficio Nº 397-2008-VIVIENDA-SG presentado el 07 de julio de 2008, la Entidad informó que mediante Oficio Nº 2972-2008-CONSUCODE/OCA de fecha 20 de junio de 2008, se remitió a la Dirección de Arbitraje Administrativo del OSCE, el escrito de contestación de la demanda, en relación a la controversia sobre resolución del contrato EXO Nº 001-2007-VIVIENDA-OGA-UE002; asimismo, remitió copia de la carta notarial mediante la cual se requirió el cumplimiento de las obligaciones contractuales de la Contratista y la resolución del contrato. </w:t>
      </w:r>
    </w:p>
    <w:p w:rsidR="00673A30" w:rsidRPr="00673A30" w:rsidRDefault="00673A30" w:rsidP="00673A30">
      <w:pPr>
        <w:contextualSpacing/>
        <w:jc w:val="both"/>
        <w:rPr>
          <w:rFonts w:ascii="Tahoma" w:hAnsi="Tahoma" w:cs="Tahoma"/>
          <w:sz w:val="20"/>
          <w:szCs w:val="20"/>
        </w:rPr>
      </w:pPr>
    </w:p>
    <w:p w:rsidR="00673A30" w:rsidRPr="00673A30" w:rsidRDefault="00673A30" w:rsidP="00673A30">
      <w:pPr>
        <w:pStyle w:val="Prrafodelista"/>
        <w:widowControl/>
        <w:numPr>
          <w:ilvl w:val="0"/>
          <w:numId w:val="11"/>
        </w:numPr>
        <w:suppressAutoHyphens w:val="0"/>
        <w:ind w:left="567" w:hanging="567"/>
        <w:contextualSpacing/>
        <w:jc w:val="both"/>
        <w:rPr>
          <w:rFonts w:ascii="Tahoma" w:hAnsi="Tahoma" w:cs="Tahoma"/>
          <w:sz w:val="20"/>
        </w:rPr>
      </w:pPr>
      <w:r w:rsidRPr="00673A30">
        <w:rPr>
          <w:rFonts w:ascii="Tahoma" w:hAnsi="Tahoma" w:cs="Tahoma"/>
          <w:sz w:val="20"/>
        </w:rPr>
        <w:t>Con decreto de fecha 10 de julio de 2008, previa razón expuesta por la Secretaría del Tribunal, se dispuso remitir el expediente a la Tercera Sala del Tribunal a fin que emita su pronunciamiento sobre la procedencia del inicio del procedimiento administrativo sancionador a la Contratista.</w:t>
      </w:r>
    </w:p>
    <w:p w:rsidR="00673A30" w:rsidRPr="00673A30" w:rsidRDefault="00673A30" w:rsidP="00673A30">
      <w:pPr>
        <w:pStyle w:val="Prrafodelista"/>
        <w:jc w:val="both"/>
        <w:rPr>
          <w:rFonts w:ascii="Tahoma" w:hAnsi="Tahoma" w:cs="Tahoma"/>
          <w:sz w:val="20"/>
        </w:rPr>
      </w:pPr>
    </w:p>
    <w:p w:rsidR="00673A30" w:rsidRPr="00673A30" w:rsidRDefault="00673A30" w:rsidP="00673A30">
      <w:pPr>
        <w:pStyle w:val="Prrafodelista"/>
        <w:widowControl/>
        <w:numPr>
          <w:ilvl w:val="0"/>
          <w:numId w:val="11"/>
        </w:numPr>
        <w:suppressAutoHyphens w:val="0"/>
        <w:ind w:left="567" w:hanging="567"/>
        <w:contextualSpacing/>
        <w:jc w:val="both"/>
        <w:rPr>
          <w:rFonts w:ascii="Tahoma" w:hAnsi="Tahoma" w:cs="Tahoma"/>
          <w:sz w:val="20"/>
        </w:rPr>
      </w:pPr>
      <w:r w:rsidRPr="00673A30">
        <w:rPr>
          <w:rFonts w:ascii="Tahoma" w:hAnsi="Tahoma" w:cs="Tahoma"/>
          <w:sz w:val="20"/>
        </w:rPr>
        <w:t>A fin que la Primera Sala cuente con mayores elementos de juicio al momento de resolver, mediante decreto de fecha 12 de abril de 2010, se requirió a la Entidad que cumpla con informar si ya había sido emitido el laudo que resuelve la controversia; y de ser el caso remita copia del mismo e indique si había sido impugnado mediante el recurso de anulación del laudo respectivo.</w:t>
      </w:r>
    </w:p>
    <w:p w:rsidR="00673A30" w:rsidRPr="00673A30" w:rsidRDefault="00673A30" w:rsidP="00673A30">
      <w:pPr>
        <w:pStyle w:val="Prrafodelista"/>
        <w:jc w:val="both"/>
        <w:rPr>
          <w:rFonts w:ascii="Tahoma" w:hAnsi="Tahoma" w:cs="Tahoma"/>
          <w:sz w:val="20"/>
        </w:rPr>
      </w:pPr>
    </w:p>
    <w:p w:rsidR="00673A30" w:rsidRPr="00673A30" w:rsidRDefault="00673A30" w:rsidP="00673A30">
      <w:pPr>
        <w:pStyle w:val="Prrafodelista"/>
        <w:widowControl/>
        <w:numPr>
          <w:ilvl w:val="0"/>
          <w:numId w:val="11"/>
        </w:numPr>
        <w:suppressAutoHyphens w:val="0"/>
        <w:ind w:left="567" w:hanging="567"/>
        <w:contextualSpacing/>
        <w:jc w:val="both"/>
        <w:rPr>
          <w:rFonts w:ascii="Tahoma" w:hAnsi="Tahoma" w:cs="Tahoma"/>
          <w:sz w:val="20"/>
        </w:rPr>
      </w:pPr>
      <w:r w:rsidRPr="00673A30">
        <w:rPr>
          <w:rFonts w:ascii="Tahoma" w:hAnsi="Tahoma" w:cs="Tahoma"/>
          <w:sz w:val="20"/>
        </w:rPr>
        <w:t>El 12 de noviembre de 2010, la Entidad remitió un escrito a través del cual adjuntó el laudo arbitral correspondiente que resuelve la controversia señalando que la resolución del contrato efectuado por la Entidad es totalmente válida y eficaz, entre otros puntos controvertidos.</w:t>
      </w:r>
    </w:p>
    <w:p w:rsidR="00673A30" w:rsidRPr="00673A30" w:rsidRDefault="00673A30" w:rsidP="00673A30">
      <w:pPr>
        <w:pStyle w:val="Prrafodelista"/>
        <w:jc w:val="both"/>
        <w:rPr>
          <w:rFonts w:ascii="Tahoma" w:hAnsi="Tahoma" w:cs="Tahoma"/>
          <w:sz w:val="20"/>
        </w:rPr>
      </w:pPr>
    </w:p>
    <w:p w:rsidR="00673A30" w:rsidRPr="00673A30" w:rsidRDefault="00673A30" w:rsidP="00673A30">
      <w:pPr>
        <w:pStyle w:val="Prrafodelista"/>
        <w:widowControl/>
        <w:numPr>
          <w:ilvl w:val="0"/>
          <w:numId w:val="11"/>
        </w:numPr>
        <w:suppressAutoHyphens w:val="0"/>
        <w:ind w:left="567" w:hanging="567"/>
        <w:contextualSpacing/>
        <w:jc w:val="both"/>
        <w:rPr>
          <w:rFonts w:ascii="Tahoma" w:hAnsi="Tahoma" w:cs="Tahoma"/>
          <w:sz w:val="20"/>
        </w:rPr>
      </w:pPr>
      <w:r w:rsidRPr="00673A30">
        <w:rPr>
          <w:rFonts w:ascii="Tahoma" w:hAnsi="Tahoma" w:cs="Tahoma"/>
          <w:sz w:val="20"/>
        </w:rPr>
        <w:t>Mediante decreto de 27 de enero de 2011, se inicio procedimiento administrativo sancionador contra ASUNCION CONTRATISTAS GENERLAES SAC por su supuesta responsabilidad en haber dado lugar a la resolución del contrato EXO Nº 001-2007-VIVIENDA-OGA-UE002, por causa atribuible a ella, causal de sanción prevista en el numeral 2 del artículo 294 del Reglamento. Asimismo, se notifico a la empresa Contratista referida a fin que en el plazo de diez/10) días hábiles cumpla con presentar sus descargos, bajo apercibimiento de resolver con la documentación obrante en el expediente.</w:t>
      </w:r>
    </w:p>
    <w:p w:rsidR="00673A30" w:rsidRPr="00673A30" w:rsidRDefault="00673A30" w:rsidP="00673A30">
      <w:pPr>
        <w:pStyle w:val="Prrafodelista"/>
        <w:jc w:val="both"/>
        <w:rPr>
          <w:rFonts w:ascii="Tahoma" w:hAnsi="Tahoma" w:cs="Tahoma"/>
          <w:sz w:val="20"/>
        </w:rPr>
      </w:pPr>
    </w:p>
    <w:p w:rsidR="00673A30" w:rsidRPr="00673A30" w:rsidRDefault="00673A30" w:rsidP="00673A30">
      <w:pPr>
        <w:pStyle w:val="Prrafodelista"/>
        <w:widowControl/>
        <w:numPr>
          <w:ilvl w:val="0"/>
          <w:numId w:val="11"/>
        </w:numPr>
        <w:suppressAutoHyphens w:val="0"/>
        <w:ind w:left="567" w:hanging="567"/>
        <w:contextualSpacing/>
        <w:jc w:val="both"/>
        <w:rPr>
          <w:rFonts w:ascii="Tahoma" w:hAnsi="Tahoma" w:cs="Tahoma"/>
          <w:sz w:val="20"/>
        </w:rPr>
      </w:pPr>
      <w:r w:rsidRPr="00673A30">
        <w:rPr>
          <w:rFonts w:ascii="Tahoma" w:hAnsi="Tahoma" w:cs="Tahoma"/>
          <w:sz w:val="20"/>
        </w:rPr>
        <w:t xml:space="preserve">El 07 de marzo de 2011 la contratista presenta sus descargos indicando que con la empresa INVERSIONES Y CONSTRUCTORA SINALCE (quien se habría encargado de la entrega de los módulos de vivienda en Chincha) les une vínculos amicales y laborales y que por dicha razón aceptaron participar en el proceso de selección y las </w:t>
      </w:r>
      <w:r w:rsidRPr="00673A30">
        <w:rPr>
          <w:rFonts w:ascii="Tahoma" w:hAnsi="Tahoma" w:cs="Tahoma"/>
          <w:sz w:val="20"/>
        </w:rPr>
        <w:lastRenderedPageBreak/>
        <w:t xml:space="preserve">correspondientes suscripciones de las Addendas al Contrato; y manifiesta que inmediatamente después del cobro de los pagos hechos a su representada por la Entidad, estos fueron depositados en la cuenta del Gerente General de la empresa INVERSIONES Y CONSTRUCTORA SINALCE, y que en su oportunidad adjuntará a sus descargos copias de dichos vouchers. Cabe indicar que no existe mayor comunicación de parte de la Contratista así como mayor fundamento de ésta a fin de acreditar que no le asistió responsabilidad en el cumplimiento de la obligación contraída. </w:t>
      </w:r>
    </w:p>
    <w:p w:rsidR="00673A30" w:rsidRPr="00673A30" w:rsidRDefault="00673A30" w:rsidP="00673A30">
      <w:pPr>
        <w:pStyle w:val="Prrafodelista"/>
        <w:jc w:val="both"/>
        <w:rPr>
          <w:rFonts w:ascii="Tahoma" w:hAnsi="Tahoma" w:cs="Tahoma"/>
          <w:sz w:val="20"/>
        </w:rPr>
      </w:pPr>
    </w:p>
    <w:p w:rsidR="00673A30" w:rsidRPr="00673A30" w:rsidRDefault="00673A30" w:rsidP="00673A30">
      <w:pPr>
        <w:pStyle w:val="Prrafodelista"/>
        <w:widowControl/>
        <w:numPr>
          <w:ilvl w:val="0"/>
          <w:numId w:val="11"/>
        </w:numPr>
        <w:suppressAutoHyphens w:val="0"/>
        <w:ind w:left="567" w:hanging="567"/>
        <w:contextualSpacing/>
        <w:jc w:val="both"/>
        <w:rPr>
          <w:rFonts w:ascii="Tahoma" w:hAnsi="Tahoma" w:cs="Tahoma"/>
          <w:sz w:val="20"/>
        </w:rPr>
      </w:pPr>
      <w:r w:rsidRPr="00673A30">
        <w:rPr>
          <w:rFonts w:ascii="Tahoma" w:hAnsi="Tahoma" w:cs="Tahoma"/>
          <w:sz w:val="20"/>
        </w:rPr>
        <w:t>Mediante decreto del 11 de marzo de 2011, la Secretaría del Tribunal tuvo por apersonada a la Contratista y se remitió el expediente a la Primera Sala del Tribunal para que resuelva.</w:t>
      </w:r>
    </w:p>
    <w:p w:rsidR="00673A30" w:rsidRPr="00673A30" w:rsidRDefault="00673A30" w:rsidP="00673A30">
      <w:pPr>
        <w:contextualSpacing/>
        <w:jc w:val="both"/>
        <w:rPr>
          <w:rFonts w:ascii="Tahoma" w:hAnsi="Tahoma" w:cs="Tahoma"/>
          <w:sz w:val="20"/>
          <w:szCs w:val="20"/>
          <w:lang w:val="es-ES_tradnl"/>
        </w:rPr>
      </w:pPr>
    </w:p>
    <w:p w:rsidR="00673A30" w:rsidRPr="00673A30" w:rsidRDefault="00673A30" w:rsidP="00673A30">
      <w:pPr>
        <w:pStyle w:val="Prrafodelista"/>
        <w:numPr>
          <w:ilvl w:val="0"/>
          <w:numId w:val="1"/>
        </w:numPr>
        <w:tabs>
          <w:tab w:val="left" w:pos="567"/>
        </w:tabs>
        <w:ind w:left="567" w:hanging="425"/>
        <w:jc w:val="both"/>
        <w:rPr>
          <w:rFonts w:ascii="Tahoma" w:hAnsi="Tahoma" w:cs="Tahoma"/>
          <w:b/>
          <w:sz w:val="20"/>
        </w:rPr>
      </w:pPr>
      <w:r w:rsidRPr="00673A30">
        <w:rPr>
          <w:rFonts w:ascii="Tahoma" w:hAnsi="Tahoma" w:cs="Tahoma"/>
          <w:b/>
          <w:sz w:val="20"/>
        </w:rPr>
        <w:t>FUNDAMENTACIÓN</w:t>
      </w:r>
    </w:p>
    <w:p w:rsidR="00673A30" w:rsidRPr="00673A30" w:rsidRDefault="00673A30" w:rsidP="00673A30">
      <w:pPr>
        <w:pStyle w:val="Prrafodelista"/>
        <w:tabs>
          <w:tab w:val="left" w:pos="567"/>
        </w:tabs>
        <w:ind w:left="567"/>
        <w:jc w:val="both"/>
        <w:rPr>
          <w:rFonts w:ascii="Tahoma" w:hAnsi="Tahoma" w:cs="Tahoma"/>
          <w:b/>
          <w:sz w:val="20"/>
        </w:rPr>
      </w:pPr>
    </w:p>
    <w:p w:rsidR="00673A30" w:rsidRPr="00673A30" w:rsidRDefault="00673A30" w:rsidP="00673A30">
      <w:pPr>
        <w:pStyle w:val="Lista3"/>
        <w:numPr>
          <w:ilvl w:val="0"/>
          <w:numId w:val="12"/>
        </w:numPr>
        <w:spacing w:after="0" w:line="240" w:lineRule="auto"/>
        <w:ind w:left="567" w:hanging="425"/>
        <w:jc w:val="both"/>
        <w:rPr>
          <w:rFonts w:ascii="Tahoma" w:hAnsi="Tahoma" w:cs="Tahoma"/>
          <w:sz w:val="20"/>
          <w:szCs w:val="20"/>
        </w:rPr>
      </w:pPr>
      <w:r w:rsidRPr="00673A30">
        <w:rPr>
          <w:rFonts w:ascii="Tahoma" w:hAnsi="Tahoma" w:cs="Tahoma"/>
          <w:sz w:val="20"/>
          <w:szCs w:val="20"/>
          <w:lang w:val="es-ES_tradnl"/>
        </w:rPr>
        <w:t xml:space="preserve">El numeral 1 del artículo 235 de la Ley № 27444, Ley del Procedimiento Administrativo General, establece que el procedimiento administrativo sancionador se inicia siempre de oficio, bien por propia iniciativa o como consecuencia de una orden superior, petición motivada de otros órganos o entidades o por denuncia. </w:t>
      </w:r>
    </w:p>
    <w:p w:rsidR="00673A30" w:rsidRPr="00673A30" w:rsidRDefault="00673A30" w:rsidP="00673A30">
      <w:pPr>
        <w:pStyle w:val="Prrafodelista"/>
        <w:ind w:left="567"/>
        <w:jc w:val="both"/>
        <w:rPr>
          <w:rFonts w:ascii="Tahoma" w:hAnsi="Tahoma" w:cs="Tahoma"/>
          <w:sz w:val="20"/>
        </w:rPr>
      </w:pPr>
    </w:p>
    <w:p w:rsidR="00673A30" w:rsidRPr="00673A30" w:rsidRDefault="00673A30" w:rsidP="00673A30">
      <w:pPr>
        <w:pStyle w:val="Lista3"/>
        <w:numPr>
          <w:ilvl w:val="0"/>
          <w:numId w:val="12"/>
        </w:numPr>
        <w:spacing w:after="0" w:line="240" w:lineRule="auto"/>
        <w:ind w:left="567" w:hanging="425"/>
        <w:jc w:val="both"/>
        <w:rPr>
          <w:rFonts w:ascii="Tahoma" w:hAnsi="Tahoma" w:cs="Tahoma"/>
          <w:sz w:val="20"/>
          <w:szCs w:val="20"/>
        </w:rPr>
      </w:pPr>
      <w:r w:rsidRPr="00673A30">
        <w:rPr>
          <w:rFonts w:ascii="Tahoma" w:hAnsi="Tahoma" w:cs="Tahoma"/>
          <w:sz w:val="20"/>
          <w:szCs w:val="20"/>
        </w:rPr>
        <w:t xml:space="preserve">El presente procedimiento administrativo sancionador ha sido iniciado a consecuencia de la denuncia formulada por la Entidad por la supuesta responsabilidad de la empresa </w:t>
      </w:r>
      <w:r w:rsidRPr="00673A30">
        <w:rPr>
          <w:rFonts w:ascii="Tahoma" w:hAnsi="Tahoma" w:cs="Tahoma"/>
          <w:sz w:val="20"/>
          <w:szCs w:val="20"/>
          <w:lang w:val="es-ES_tradnl"/>
        </w:rPr>
        <w:t xml:space="preserve">ASUNCION CONTRATISTAS GENERALES SAC </w:t>
      </w:r>
      <w:r w:rsidRPr="00673A30">
        <w:rPr>
          <w:rFonts w:ascii="Tahoma" w:hAnsi="Tahoma" w:cs="Tahoma"/>
          <w:sz w:val="20"/>
          <w:szCs w:val="20"/>
        </w:rPr>
        <w:t>en la resolución del Contrato EXO Nº 001-2007-VIVIENDA-OGA-UE002, por razón atribuible a su parte, situación que califica como infracción administrativa según la causal de imposición de sanción tipificada en el numeral 2 del artículo 294 del Reglamento</w:t>
      </w:r>
      <w:r w:rsidRPr="00673A30">
        <w:rPr>
          <w:rStyle w:val="Refdenotaalpie"/>
          <w:rFonts w:ascii="Tahoma" w:hAnsi="Tahoma" w:cs="Tahoma"/>
          <w:sz w:val="20"/>
          <w:szCs w:val="20"/>
        </w:rPr>
        <w:footnoteReference w:id="2"/>
      </w:r>
      <w:r w:rsidRPr="00673A30">
        <w:rPr>
          <w:rFonts w:ascii="Tahoma" w:hAnsi="Tahoma" w:cs="Tahoma"/>
          <w:sz w:val="20"/>
          <w:szCs w:val="20"/>
        </w:rPr>
        <w:t xml:space="preserve">, norma aplicable al presente caso. </w:t>
      </w:r>
    </w:p>
    <w:p w:rsidR="00673A30" w:rsidRPr="00673A30" w:rsidRDefault="00673A30" w:rsidP="00673A30">
      <w:pPr>
        <w:pStyle w:val="Prrafodelista"/>
        <w:ind w:left="567"/>
        <w:jc w:val="both"/>
        <w:rPr>
          <w:rFonts w:ascii="Tahoma" w:hAnsi="Tahoma" w:cs="Tahoma"/>
          <w:sz w:val="20"/>
        </w:rPr>
      </w:pPr>
    </w:p>
    <w:p w:rsidR="00673A30" w:rsidRPr="00673A30" w:rsidRDefault="00673A30" w:rsidP="00673A30">
      <w:pPr>
        <w:pStyle w:val="Lista3"/>
        <w:ind w:left="567" w:firstLine="0"/>
        <w:jc w:val="both"/>
        <w:rPr>
          <w:rFonts w:ascii="Tahoma" w:hAnsi="Tahoma" w:cs="Tahoma"/>
          <w:sz w:val="20"/>
          <w:szCs w:val="20"/>
        </w:rPr>
      </w:pPr>
      <w:r w:rsidRPr="00673A30">
        <w:rPr>
          <w:rFonts w:ascii="Tahoma" w:hAnsi="Tahoma" w:cs="Tahoma"/>
          <w:sz w:val="20"/>
          <w:szCs w:val="20"/>
        </w:rPr>
        <w:t xml:space="preserve">Precisamente, el artículo 52 del Texto Único Ordenado de la Ley de Contrataciones y Adquisiciones del Estado, aprobado por Decreto Supremo № 083-2004-PCM, en adelante la Ley, establece que el Consejo Superior de Contrataciones y Adquisiciones del Estado (Ahora OSCE) impondrá a los proveedores, participantes, postores, contratistas y entidades, en los casos que esta Ley o su Reglamento lo señalen, las sanciones de, inhabilitación temporal, inhabilitación definitiva o sanciones económicas. </w:t>
      </w:r>
    </w:p>
    <w:p w:rsidR="00673A30" w:rsidRPr="00673A30" w:rsidRDefault="00673A30" w:rsidP="00673A30">
      <w:pPr>
        <w:pStyle w:val="Lista3"/>
        <w:ind w:left="567" w:firstLine="0"/>
        <w:jc w:val="both"/>
        <w:rPr>
          <w:rFonts w:ascii="Tahoma" w:hAnsi="Tahoma" w:cs="Tahoma"/>
          <w:sz w:val="20"/>
          <w:szCs w:val="20"/>
        </w:rPr>
      </w:pPr>
    </w:p>
    <w:p w:rsidR="00673A30" w:rsidRPr="00673A30" w:rsidRDefault="00673A30" w:rsidP="00673A30">
      <w:pPr>
        <w:pStyle w:val="Lista3"/>
        <w:numPr>
          <w:ilvl w:val="0"/>
          <w:numId w:val="12"/>
        </w:numPr>
        <w:spacing w:after="0" w:line="240" w:lineRule="auto"/>
        <w:ind w:left="567" w:hanging="425"/>
        <w:jc w:val="both"/>
        <w:rPr>
          <w:rFonts w:ascii="Tahoma" w:hAnsi="Tahoma" w:cs="Tahoma"/>
          <w:sz w:val="20"/>
          <w:szCs w:val="20"/>
        </w:rPr>
      </w:pPr>
      <w:r w:rsidRPr="00673A30">
        <w:rPr>
          <w:rFonts w:ascii="Tahoma" w:hAnsi="Tahoma" w:cs="Tahoma"/>
          <w:sz w:val="20"/>
          <w:szCs w:val="20"/>
        </w:rPr>
        <w:t xml:space="preserve">A fin de determinar la responsabilidad de la empresa </w:t>
      </w:r>
      <w:r w:rsidRPr="00673A30">
        <w:rPr>
          <w:rFonts w:ascii="Tahoma" w:hAnsi="Tahoma" w:cs="Tahoma"/>
          <w:sz w:val="20"/>
          <w:szCs w:val="20"/>
          <w:lang w:val="es-ES_tradnl"/>
        </w:rPr>
        <w:t>ASUNCION CONTRATISTAS GENERLAES SAC</w:t>
      </w:r>
      <w:r w:rsidRPr="00673A30">
        <w:rPr>
          <w:rFonts w:ascii="Tahoma" w:hAnsi="Tahoma" w:cs="Tahoma"/>
          <w:sz w:val="20"/>
          <w:szCs w:val="20"/>
        </w:rPr>
        <w:t>, es relevante tener en cuenta que la potestad sancionadora de la Administración Pública se rige, entre otros, por el Principio de Tipicidad, consagrado en el numeral 2 del artículo 230 de la Ley № 27444, Ley del Procedimiento Administrativo General, y por medio del cual sólo constituyen conductas sancionables administrativamente las infracciones previstas expresamente en normas con rango de ley o de reglamento, mediante su tipificación como tales, sin admitir interpretación extensiva o por analogía.</w:t>
      </w:r>
    </w:p>
    <w:p w:rsidR="00673A30" w:rsidRPr="00673A30" w:rsidRDefault="00673A30" w:rsidP="00673A30">
      <w:pPr>
        <w:pStyle w:val="Prrafodelista"/>
        <w:ind w:left="567" w:hanging="425"/>
        <w:jc w:val="both"/>
        <w:rPr>
          <w:rFonts w:ascii="Tahoma" w:hAnsi="Tahoma" w:cs="Tahoma"/>
          <w:sz w:val="20"/>
        </w:rPr>
      </w:pPr>
    </w:p>
    <w:p w:rsidR="00673A30" w:rsidRPr="00673A30" w:rsidRDefault="00673A30" w:rsidP="00673A30">
      <w:pPr>
        <w:pStyle w:val="Lista3"/>
        <w:numPr>
          <w:ilvl w:val="0"/>
          <w:numId w:val="12"/>
        </w:numPr>
        <w:spacing w:after="0" w:line="240" w:lineRule="auto"/>
        <w:ind w:left="567" w:hanging="425"/>
        <w:jc w:val="both"/>
        <w:rPr>
          <w:rFonts w:ascii="Tahoma" w:hAnsi="Tahoma" w:cs="Tahoma"/>
          <w:sz w:val="20"/>
          <w:szCs w:val="20"/>
        </w:rPr>
      </w:pPr>
      <w:r w:rsidRPr="00673A30">
        <w:rPr>
          <w:rFonts w:ascii="Tahoma" w:hAnsi="Tahoma" w:cs="Tahoma"/>
          <w:sz w:val="20"/>
          <w:szCs w:val="20"/>
        </w:rPr>
        <w:t>Así entendido, y de acuerdo con los criterios adoptados por el Tribunal, para la generación del tipo infractor que nos ocupa es irrelevante el solo incumplimiento injustificado de las obligaciones contractuales, siendo que su configuración se encuentra condicionada a que la Entidad haya efectivamente resuelto el contrato por causal atribuible a la Contratista, en aplicación del inciso c) del artículo 41 de la Ley, y el numeral 1 del artículo 225 del Reglamento</w:t>
      </w:r>
      <w:r w:rsidRPr="00673A30">
        <w:rPr>
          <w:rStyle w:val="Refdenotaalpie"/>
          <w:rFonts w:ascii="Tahoma" w:hAnsi="Tahoma" w:cs="Tahoma"/>
          <w:sz w:val="20"/>
          <w:szCs w:val="20"/>
        </w:rPr>
        <w:footnoteReference w:id="3"/>
      </w:r>
      <w:r w:rsidRPr="00673A30">
        <w:rPr>
          <w:rFonts w:ascii="Tahoma" w:hAnsi="Tahoma" w:cs="Tahoma"/>
          <w:sz w:val="20"/>
          <w:szCs w:val="20"/>
        </w:rPr>
        <w:t xml:space="preserve">, </w:t>
      </w:r>
      <w:r w:rsidRPr="00673A30">
        <w:rPr>
          <w:rFonts w:ascii="Tahoma" w:hAnsi="Tahoma" w:cs="Tahoma"/>
          <w:sz w:val="20"/>
          <w:szCs w:val="20"/>
          <w:u w:val="single"/>
        </w:rPr>
        <w:t>para lo cual resulta imperativo que la Entidad haya observado el procedimiento de resolución establecido en el artículo 226 del citado cuerpo normativo</w:t>
      </w:r>
      <w:r w:rsidRPr="00673A30">
        <w:rPr>
          <w:rFonts w:ascii="Tahoma" w:hAnsi="Tahoma" w:cs="Tahoma"/>
          <w:sz w:val="20"/>
          <w:szCs w:val="20"/>
        </w:rPr>
        <w:t>.</w:t>
      </w:r>
    </w:p>
    <w:p w:rsidR="00673A30" w:rsidRPr="00673A30" w:rsidRDefault="00673A30" w:rsidP="00673A30">
      <w:pPr>
        <w:pStyle w:val="Prrafodelista"/>
        <w:ind w:left="567" w:hanging="425"/>
        <w:jc w:val="both"/>
        <w:rPr>
          <w:rFonts w:ascii="Tahoma" w:hAnsi="Tahoma" w:cs="Tahoma"/>
          <w:sz w:val="20"/>
        </w:rPr>
      </w:pPr>
    </w:p>
    <w:p w:rsidR="00673A30" w:rsidRPr="00673A30" w:rsidRDefault="00673A30" w:rsidP="00673A30">
      <w:pPr>
        <w:pStyle w:val="Lista3"/>
        <w:numPr>
          <w:ilvl w:val="0"/>
          <w:numId w:val="12"/>
        </w:numPr>
        <w:spacing w:after="0" w:line="240" w:lineRule="auto"/>
        <w:ind w:left="567" w:hanging="425"/>
        <w:jc w:val="both"/>
        <w:rPr>
          <w:rFonts w:ascii="Tahoma" w:hAnsi="Tahoma" w:cs="Tahoma"/>
          <w:sz w:val="20"/>
          <w:szCs w:val="20"/>
        </w:rPr>
      </w:pPr>
      <w:r w:rsidRPr="00673A30">
        <w:rPr>
          <w:rFonts w:ascii="Tahoma" w:hAnsi="Tahoma" w:cs="Tahoma"/>
          <w:sz w:val="20"/>
          <w:szCs w:val="20"/>
        </w:rPr>
        <w:t>Ahora bien, según lo dispuesto en el artículo 226 del Reglamento</w:t>
      </w:r>
      <w:r w:rsidRPr="00673A30">
        <w:rPr>
          <w:rStyle w:val="Refdenotaalpie"/>
          <w:rFonts w:ascii="Tahoma" w:hAnsi="Tahoma" w:cs="Tahoma"/>
          <w:sz w:val="20"/>
          <w:szCs w:val="20"/>
        </w:rPr>
        <w:footnoteReference w:id="4"/>
      </w:r>
      <w:r w:rsidRPr="00673A30">
        <w:rPr>
          <w:rFonts w:ascii="Tahoma" w:hAnsi="Tahoma" w:cs="Tahoma"/>
          <w:sz w:val="20"/>
          <w:szCs w:val="20"/>
        </w:rPr>
        <w:t>, la parte perjudicada ante el incumplimiento de las obligaciones de su co-contratante deberá requerirla mediante carta notarial para que las satisfaga, otorgándole un plazo no mayor a cinco días, bajo apercibimiento que el Contrato quede resuelto de pleno derecho. Si vencido dicho plazo el incumplimiento continúa, la parte perjudicada resolverá el contrato mediante una nueva carta notarial. Asimismo, la citada norma ha previsto que, dependiendo de la complejidad, envergadura o sofisticación de la adquisición o contratación, la Entidad podrá otorgar a la Contratista un plazo mayor, el cual en ningún caso deberá exceder de quince días.</w:t>
      </w:r>
    </w:p>
    <w:p w:rsidR="00673A30" w:rsidRPr="00673A30" w:rsidRDefault="00673A30" w:rsidP="00673A30">
      <w:pPr>
        <w:pStyle w:val="Prrafodelista"/>
        <w:ind w:left="567" w:hanging="425"/>
        <w:jc w:val="both"/>
        <w:rPr>
          <w:rFonts w:ascii="Tahoma" w:hAnsi="Tahoma" w:cs="Tahoma"/>
          <w:sz w:val="20"/>
        </w:rPr>
      </w:pPr>
    </w:p>
    <w:p w:rsidR="00673A30" w:rsidRPr="00673A30" w:rsidRDefault="00673A30" w:rsidP="00673A30">
      <w:pPr>
        <w:pStyle w:val="Lista3"/>
        <w:numPr>
          <w:ilvl w:val="0"/>
          <w:numId w:val="12"/>
        </w:numPr>
        <w:spacing w:after="0" w:line="240" w:lineRule="auto"/>
        <w:ind w:left="567" w:hanging="425"/>
        <w:jc w:val="both"/>
        <w:rPr>
          <w:rFonts w:ascii="Tahoma" w:hAnsi="Tahoma" w:cs="Tahoma"/>
          <w:sz w:val="20"/>
          <w:szCs w:val="20"/>
        </w:rPr>
      </w:pPr>
      <w:r w:rsidRPr="00673A30">
        <w:rPr>
          <w:rFonts w:ascii="Tahoma" w:hAnsi="Tahoma" w:cs="Tahoma"/>
          <w:sz w:val="20"/>
          <w:szCs w:val="20"/>
        </w:rPr>
        <w:t xml:space="preserve">En ese orden de ideas, corresponde determinar, de manera previa, si la Entidad ha seguido el debido procedimiento para la resolución del citado contrato, conforme lo previsto en los artículos 225 y 226 del Reglamento. </w:t>
      </w:r>
    </w:p>
    <w:p w:rsidR="00673A30" w:rsidRPr="00673A30" w:rsidRDefault="00673A30" w:rsidP="00673A30">
      <w:pPr>
        <w:pStyle w:val="Prrafodelista"/>
        <w:ind w:left="567" w:hanging="425"/>
        <w:jc w:val="both"/>
        <w:rPr>
          <w:rFonts w:ascii="Tahoma" w:hAnsi="Tahoma" w:cs="Tahoma"/>
          <w:sz w:val="20"/>
        </w:rPr>
      </w:pPr>
    </w:p>
    <w:p w:rsidR="00673A30" w:rsidRPr="00673A30" w:rsidRDefault="00673A30" w:rsidP="00673A30">
      <w:pPr>
        <w:pStyle w:val="Lista3"/>
        <w:numPr>
          <w:ilvl w:val="0"/>
          <w:numId w:val="12"/>
        </w:numPr>
        <w:spacing w:after="0" w:line="240" w:lineRule="auto"/>
        <w:ind w:left="567" w:hanging="425"/>
        <w:jc w:val="both"/>
        <w:rPr>
          <w:rFonts w:ascii="Tahoma" w:hAnsi="Tahoma" w:cs="Tahoma"/>
          <w:sz w:val="20"/>
          <w:szCs w:val="20"/>
        </w:rPr>
      </w:pPr>
      <w:r w:rsidRPr="00673A30">
        <w:rPr>
          <w:rFonts w:ascii="Tahoma" w:hAnsi="Tahoma" w:cs="Tahoma"/>
          <w:sz w:val="20"/>
          <w:szCs w:val="20"/>
        </w:rPr>
        <w:t>Al respecto, de la documentación obrante en autos, se observa que la Entidad remitió a la Contratista, vía conducto notarial, dos (2) comunicaciones:</w:t>
      </w:r>
    </w:p>
    <w:p w:rsidR="00673A30" w:rsidRPr="00673A30" w:rsidRDefault="00673A30" w:rsidP="00673A30">
      <w:pPr>
        <w:pStyle w:val="Lista3"/>
        <w:ind w:left="567" w:hanging="425"/>
        <w:jc w:val="both"/>
        <w:rPr>
          <w:rFonts w:ascii="Tahoma" w:hAnsi="Tahoma" w:cs="Tahoma"/>
          <w:sz w:val="20"/>
          <w:szCs w:val="20"/>
        </w:rPr>
      </w:pPr>
    </w:p>
    <w:p w:rsidR="00673A30" w:rsidRPr="00673A30" w:rsidRDefault="00673A30" w:rsidP="00673A30">
      <w:pPr>
        <w:pStyle w:val="Lista3"/>
        <w:numPr>
          <w:ilvl w:val="0"/>
          <w:numId w:val="13"/>
        </w:numPr>
        <w:spacing w:after="0" w:line="240" w:lineRule="auto"/>
        <w:ind w:left="993" w:hanging="425"/>
        <w:jc w:val="both"/>
        <w:rPr>
          <w:rFonts w:ascii="Tahoma" w:hAnsi="Tahoma" w:cs="Tahoma"/>
          <w:sz w:val="20"/>
          <w:szCs w:val="20"/>
        </w:rPr>
      </w:pPr>
      <w:r w:rsidRPr="00673A30">
        <w:rPr>
          <w:rFonts w:ascii="Tahoma" w:hAnsi="Tahoma" w:cs="Tahoma"/>
          <w:sz w:val="20"/>
          <w:szCs w:val="20"/>
        </w:rPr>
        <w:t>Mediante Oficio Nº 075-2008-VIVIENDA-OGA, diligenciada mediante conducto notarial el 6 de febrero de 2008, la Entidad comunicó a la Contratista que se le otorgaba un plazo de cinco (5) días a fin que cumpla con la totalidad de la prestación, sin perjuicio de la aplicación de penalidades.</w:t>
      </w:r>
    </w:p>
    <w:p w:rsidR="00673A30" w:rsidRPr="00673A30" w:rsidRDefault="00673A30" w:rsidP="00673A30">
      <w:pPr>
        <w:pStyle w:val="Lista3"/>
        <w:spacing w:after="0" w:line="240" w:lineRule="auto"/>
        <w:ind w:left="993" w:firstLine="0"/>
        <w:jc w:val="both"/>
        <w:rPr>
          <w:rFonts w:ascii="Tahoma" w:hAnsi="Tahoma" w:cs="Tahoma"/>
          <w:sz w:val="20"/>
          <w:szCs w:val="20"/>
        </w:rPr>
      </w:pPr>
    </w:p>
    <w:p w:rsidR="00673A30" w:rsidRPr="00673A30" w:rsidRDefault="00673A30" w:rsidP="00673A30">
      <w:pPr>
        <w:pStyle w:val="Lista3"/>
        <w:numPr>
          <w:ilvl w:val="0"/>
          <w:numId w:val="13"/>
        </w:numPr>
        <w:spacing w:after="0" w:line="240" w:lineRule="auto"/>
        <w:ind w:left="993" w:hanging="425"/>
        <w:jc w:val="both"/>
        <w:rPr>
          <w:rFonts w:ascii="Tahoma" w:hAnsi="Tahoma" w:cs="Tahoma"/>
          <w:sz w:val="20"/>
          <w:szCs w:val="20"/>
        </w:rPr>
      </w:pPr>
      <w:r w:rsidRPr="00673A30">
        <w:rPr>
          <w:rFonts w:ascii="Tahoma" w:hAnsi="Tahoma" w:cs="Tahoma"/>
          <w:sz w:val="20"/>
          <w:szCs w:val="20"/>
        </w:rPr>
        <w:t xml:space="preserve">Mediante Carta Nº 025-2008-VIVIENDA-OGA, diligenciada mediante conducto notarial el 27 de febrero de 2008, la Entidad comunicó a la Contratista que había </w:t>
      </w:r>
      <w:r w:rsidRPr="00673A30">
        <w:rPr>
          <w:rFonts w:ascii="Tahoma" w:hAnsi="Tahoma" w:cs="Tahoma"/>
          <w:sz w:val="20"/>
          <w:szCs w:val="20"/>
        </w:rPr>
        <w:lastRenderedPageBreak/>
        <w:t xml:space="preserve">decido resolver el Contrato EXO Nº 001-2007-VIVIENDA-OGA-UE002, dado que no había cumplido con entregar con la totalidad de la prestación, a  pesar de haberle otorgado un plazo adicional para tal fin.  </w:t>
      </w:r>
    </w:p>
    <w:p w:rsidR="00673A30" w:rsidRPr="00673A30" w:rsidRDefault="00673A30" w:rsidP="00673A30">
      <w:pPr>
        <w:ind w:left="567" w:hanging="425"/>
        <w:jc w:val="both"/>
        <w:rPr>
          <w:rFonts w:ascii="Tahoma" w:hAnsi="Tahoma" w:cs="Tahoma"/>
          <w:sz w:val="20"/>
          <w:szCs w:val="20"/>
        </w:rPr>
      </w:pPr>
      <w:r w:rsidRPr="00673A30">
        <w:rPr>
          <w:rFonts w:ascii="Tahoma" w:hAnsi="Tahoma" w:cs="Tahoma"/>
          <w:sz w:val="20"/>
          <w:szCs w:val="20"/>
        </w:rPr>
        <w:t xml:space="preserve"> </w:t>
      </w:r>
    </w:p>
    <w:p w:rsidR="00673A30" w:rsidRPr="00673A30" w:rsidRDefault="00673A30" w:rsidP="00673A30">
      <w:pPr>
        <w:pStyle w:val="Sinespaciado"/>
        <w:numPr>
          <w:ilvl w:val="0"/>
          <w:numId w:val="12"/>
        </w:numPr>
        <w:ind w:left="567" w:hanging="425"/>
        <w:jc w:val="both"/>
        <w:rPr>
          <w:rFonts w:ascii="Tahoma" w:hAnsi="Tahoma" w:cs="Tahoma"/>
          <w:sz w:val="20"/>
          <w:szCs w:val="20"/>
        </w:rPr>
      </w:pPr>
      <w:r w:rsidRPr="00673A30">
        <w:rPr>
          <w:rFonts w:ascii="Tahoma" w:hAnsi="Tahoma" w:cs="Tahoma"/>
          <w:sz w:val="20"/>
          <w:szCs w:val="20"/>
        </w:rPr>
        <w:t>En tal sentido, se verifica que la Entidad ha observado la formalidad de comunicar dos cartas notariales para la resolución del Contrato EXO Nº 001-2007-VIVIENDA-OGA-UE002, siendo la primera carta notarial de requerimiento a la Contratista para el cumplimiento de sus obligaciones y, la segunda, de resolución del contrato citado, de conformidad con el artículo 226 del Reglamento.</w:t>
      </w:r>
    </w:p>
    <w:p w:rsidR="00673A30" w:rsidRPr="00673A30" w:rsidRDefault="00673A30" w:rsidP="00673A30">
      <w:pPr>
        <w:pStyle w:val="Sinespaciado"/>
        <w:ind w:left="567"/>
        <w:jc w:val="both"/>
        <w:rPr>
          <w:rFonts w:ascii="Tahoma" w:hAnsi="Tahoma" w:cs="Tahoma"/>
          <w:sz w:val="20"/>
          <w:szCs w:val="20"/>
        </w:rPr>
      </w:pPr>
    </w:p>
    <w:p w:rsidR="00673A30" w:rsidRPr="00673A30" w:rsidRDefault="00673A30" w:rsidP="00673A30">
      <w:pPr>
        <w:pStyle w:val="Prrafodelista"/>
        <w:widowControl/>
        <w:numPr>
          <w:ilvl w:val="0"/>
          <w:numId w:val="12"/>
        </w:numPr>
        <w:suppressAutoHyphens w:val="0"/>
        <w:ind w:left="567" w:hanging="425"/>
        <w:contextualSpacing/>
        <w:jc w:val="both"/>
        <w:rPr>
          <w:rFonts w:ascii="Tahoma" w:hAnsi="Tahoma" w:cs="Tahoma"/>
          <w:sz w:val="20"/>
        </w:rPr>
      </w:pPr>
      <w:r w:rsidRPr="00673A30">
        <w:rPr>
          <w:rFonts w:ascii="Tahoma" w:hAnsi="Tahoma" w:cs="Tahoma"/>
          <w:sz w:val="20"/>
        </w:rPr>
        <w:t>En ese orden de ideas, al establecerse que la resolución de contrato se resolvió de acuerdo a la normativa en contratación pública, corresponde a este Colegiado determinar si dicha conducta resultó justificada o no, en tanto que solamente el incumplimiento que obedece a causas injustificadas atribuibles a los contratistas es sancionable administrativamente, en estricta observancia del Principio de Tipicidad previsto en el numeral 4) del artículo 230º de la Ley Nº 27444 – Ley del Procedimiento Administrativo General, en cuya virtud sólo constituyen conductas sancionables administrativamente las infracciones previstas expresamente en normas con rango de ley mediante su tipificación como tales, sin admitir interpretación extensiva o por analogía.</w:t>
      </w:r>
    </w:p>
    <w:p w:rsidR="00673A30" w:rsidRPr="00673A30" w:rsidRDefault="00673A30" w:rsidP="00673A30">
      <w:pPr>
        <w:pStyle w:val="Prrafodelista"/>
        <w:jc w:val="both"/>
        <w:rPr>
          <w:rFonts w:ascii="Tahoma" w:hAnsi="Tahoma" w:cs="Tahoma"/>
          <w:sz w:val="20"/>
        </w:rPr>
      </w:pPr>
    </w:p>
    <w:p w:rsidR="00673A30" w:rsidRPr="00673A30" w:rsidRDefault="00673A30" w:rsidP="00673A30">
      <w:pPr>
        <w:pStyle w:val="Prrafodelista"/>
        <w:widowControl/>
        <w:numPr>
          <w:ilvl w:val="0"/>
          <w:numId w:val="12"/>
        </w:numPr>
        <w:suppressAutoHyphens w:val="0"/>
        <w:ind w:left="567" w:hanging="567"/>
        <w:contextualSpacing/>
        <w:jc w:val="both"/>
        <w:rPr>
          <w:rFonts w:ascii="Tahoma" w:hAnsi="Tahoma" w:cs="Tahoma"/>
          <w:sz w:val="20"/>
        </w:rPr>
      </w:pPr>
      <w:r w:rsidRPr="00673A30">
        <w:rPr>
          <w:rFonts w:ascii="Tahoma" w:hAnsi="Tahoma" w:cs="Tahoma"/>
          <w:sz w:val="20"/>
        </w:rPr>
        <w:t>En ese sentido, cabe anotar que existe una presunción legal que el incumplimiento de obligaciones o su cumplimiento parcial, tardío o defectuoso, es atribuible a la parte que debió ejecutarlas, salvo que ésta demuestre que el incumplimiento se produjo, a pesar de haber actuado con la diligencia ordinaria exigida por la naturaleza de la prestación, o que la causa de ella fue un caso fortuito o fuerza mayor</w:t>
      </w:r>
      <w:r w:rsidRPr="00673A30">
        <w:rPr>
          <w:rStyle w:val="Refdenotaalpie"/>
          <w:rFonts w:ascii="Tahoma" w:hAnsi="Tahoma" w:cs="Tahoma"/>
          <w:sz w:val="20"/>
        </w:rPr>
        <w:footnoteReference w:id="5"/>
      </w:r>
      <w:r w:rsidRPr="00673A30">
        <w:rPr>
          <w:rFonts w:ascii="Tahoma" w:hAnsi="Tahoma" w:cs="Tahoma"/>
          <w:sz w:val="20"/>
        </w:rPr>
        <w:t xml:space="preserve">. </w:t>
      </w:r>
    </w:p>
    <w:p w:rsidR="00673A30" w:rsidRPr="00673A30" w:rsidRDefault="00673A30" w:rsidP="00673A30">
      <w:pPr>
        <w:pStyle w:val="Prrafodelista"/>
        <w:jc w:val="both"/>
        <w:rPr>
          <w:rFonts w:ascii="Tahoma" w:hAnsi="Tahoma" w:cs="Tahoma"/>
          <w:sz w:val="20"/>
        </w:rPr>
      </w:pPr>
    </w:p>
    <w:p w:rsidR="00673A30" w:rsidRPr="00673A30" w:rsidRDefault="00673A30" w:rsidP="00673A30">
      <w:pPr>
        <w:pStyle w:val="Lista3"/>
        <w:numPr>
          <w:ilvl w:val="0"/>
          <w:numId w:val="12"/>
        </w:numPr>
        <w:spacing w:after="0" w:line="240" w:lineRule="auto"/>
        <w:ind w:left="567" w:hanging="567"/>
        <w:jc w:val="both"/>
        <w:rPr>
          <w:rFonts w:ascii="Tahoma" w:hAnsi="Tahoma" w:cs="Tahoma"/>
          <w:sz w:val="20"/>
          <w:szCs w:val="20"/>
        </w:rPr>
      </w:pPr>
      <w:r w:rsidRPr="00673A30">
        <w:rPr>
          <w:rFonts w:ascii="Tahoma" w:hAnsi="Tahoma" w:cs="Tahoma"/>
          <w:sz w:val="20"/>
          <w:szCs w:val="20"/>
        </w:rPr>
        <w:t xml:space="preserve">En el caso que nos ocupa, tenemos que la Entidad ha denunciado al Contratista por haber dado lugar a la resolución parcial del contrato por causal atribuible a su parte, debido a que no habría cumplido oportunamente con la prestación a su cargo, como era la entrega de los bienes restantes consistente de 1100 módulos de Vivienda Prefabricados para la atención de zonas declaradas en emergencia producto del sismo ocurrido el 15 de agosto de 2007,  a pesar de las ampliaciones en el plazo otorgadas a su favor. </w:t>
      </w:r>
    </w:p>
    <w:p w:rsidR="00673A30" w:rsidRPr="00673A30" w:rsidRDefault="00673A30" w:rsidP="00673A30">
      <w:pPr>
        <w:pStyle w:val="Prrafodelista"/>
        <w:rPr>
          <w:rFonts w:ascii="Tahoma" w:hAnsi="Tahoma" w:cs="Tahoma"/>
          <w:sz w:val="20"/>
        </w:rPr>
      </w:pPr>
    </w:p>
    <w:p w:rsidR="00673A30" w:rsidRPr="00673A30" w:rsidRDefault="00673A30" w:rsidP="00673A30">
      <w:pPr>
        <w:pStyle w:val="Lista3"/>
        <w:numPr>
          <w:ilvl w:val="0"/>
          <w:numId w:val="12"/>
        </w:numPr>
        <w:spacing w:after="0" w:line="240" w:lineRule="auto"/>
        <w:ind w:left="567" w:hanging="567"/>
        <w:jc w:val="both"/>
        <w:rPr>
          <w:rFonts w:ascii="Tahoma" w:hAnsi="Tahoma" w:cs="Tahoma"/>
          <w:sz w:val="20"/>
          <w:szCs w:val="20"/>
        </w:rPr>
      </w:pPr>
      <w:r w:rsidRPr="00673A30">
        <w:rPr>
          <w:rFonts w:ascii="Tahoma" w:hAnsi="Tahoma" w:cs="Tahoma"/>
          <w:sz w:val="20"/>
          <w:szCs w:val="20"/>
        </w:rPr>
        <w:t>En efecto, de la revisión de los antecedentes administrativos, se advierte que mediante Contrato de Compra Venta EXO Nº 001-2007-VIVIENDA-OGA-UE002 del 12 de noviembre de 2007, la Contratista se comprometió a entregar 1100 módulos de Vivienda Prefabricados para la atención de zonas declaradas en emergencia producto del sismo ocurrido el 15 de agosto de 2007, cuyo plazo máximo de ejecución era de 30 días calendario, el mismo que empezaba a regir a partir del día siguiente de la suscripción.</w:t>
      </w:r>
    </w:p>
    <w:p w:rsidR="00673A30" w:rsidRPr="00673A30" w:rsidRDefault="00673A30" w:rsidP="00673A30">
      <w:pPr>
        <w:pStyle w:val="Prrafodelista"/>
        <w:rPr>
          <w:rFonts w:ascii="Tahoma" w:hAnsi="Tahoma" w:cs="Tahoma"/>
          <w:sz w:val="20"/>
        </w:rPr>
      </w:pPr>
    </w:p>
    <w:p w:rsidR="00673A30" w:rsidRPr="00673A30" w:rsidRDefault="00673A30" w:rsidP="00673A30">
      <w:pPr>
        <w:pStyle w:val="Lista3"/>
        <w:numPr>
          <w:ilvl w:val="0"/>
          <w:numId w:val="12"/>
        </w:numPr>
        <w:spacing w:after="0" w:line="240" w:lineRule="auto"/>
        <w:ind w:left="567" w:hanging="567"/>
        <w:jc w:val="both"/>
        <w:rPr>
          <w:rFonts w:ascii="Tahoma" w:hAnsi="Tahoma" w:cs="Tahoma"/>
          <w:sz w:val="20"/>
          <w:szCs w:val="20"/>
        </w:rPr>
      </w:pPr>
      <w:r w:rsidRPr="00673A30">
        <w:rPr>
          <w:rFonts w:ascii="Tahoma" w:hAnsi="Tahoma" w:cs="Tahoma"/>
          <w:sz w:val="20"/>
          <w:szCs w:val="20"/>
        </w:rPr>
        <w:t xml:space="preserve">Sin embargo, de la revisión de los documentos remitidos por la Entidad donde obran los documentos aportados por la Contratista en el desarrollo del proceso de selección se </w:t>
      </w:r>
      <w:r w:rsidRPr="00673A30">
        <w:rPr>
          <w:rFonts w:ascii="Tahoma" w:hAnsi="Tahoma" w:cs="Tahoma"/>
          <w:sz w:val="20"/>
          <w:szCs w:val="20"/>
        </w:rPr>
        <w:lastRenderedPageBreak/>
        <w:t>aprecia que ésta solicitó una primera ampliación de 30 días calendario en el plazo de entrega de los bienes, en razón de que la empresa SODIMAC, proveedora de los materiales estructurales de los módulos (perfiles metálicos, planchas onduladas y cumbreras, lana termoacústica, planchas de fibrocemento) indicó que el requerimiento equivalía al consumo de dos (02) meses de venta en el departamento de Lima, por lo que no se abastecía a fin de cumplir con la entrega de materiales; así también señala que la huelga de estibadores en el Puerto del Callao, que se produjo en dicha oportunidad, imposibilitaban la provisión de los materiales necesarios en el plazo conveniente. Por ello, la Entidad aprobó el otorgamiento de ampliación del plazo de entrega suscribiendo la Addenda Nº 01 con fecha de vencimiento del 11 de enero de 2008.</w:t>
      </w:r>
    </w:p>
    <w:p w:rsidR="00673A30" w:rsidRPr="00673A30" w:rsidRDefault="00673A30" w:rsidP="00673A30">
      <w:pPr>
        <w:pStyle w:val="Prrafodelista"/>
        <w:rPr>
          <w:rFonts w:ascii="Tahoma" w:hAnsi="Tahoma" w:cs="Tahoma"/>
          <w:sz w:val="20"/>
        </w:rPr>
      </w:pPr>
    </w:p>
    <w:p w:rsidR="00673A30" w:rsidRPr="00673A30" w:rsidRDefault="00673A30" w:rsidP="00673A30">
      <w:pPr>
        <w:pStyle w:val="Lista3"/>
        <w:numPr>
          <w:ilvl w:val="0"/>
          <w:numId w:val="12"/>
        </w:numPr>
        <w:spacing w:after="0" w:line="240" w:lineRule="auto"/>
        <w:ind w:left="567" w:hanging="567"/>
        <w:jc w:val="both"/>
        <w:rPr>
          <w:rFonts w:ascii="Tahoma" w:hAnsi="Tahoma" w:cs="Tahoma"/>
          <w:sz w:val="20"/>
          <w:szCs w:val="20"/>
        </w:rPr>
      </w:pPr>
      <w:r w:rsidRPr="00673A30">
        <w:rPr>
          <w:rFonts w:ascii="Tahoma" w:hAnsi="Tahoma" w:cs="Tahoma"/>
          <w:sz w:val="20"/>
          <w:szCs w:val="20"/>
        </w:rPr>
        <w:t>Posteriormente, la Contratista solicita una nueva ampliación en el plazo de entrega de los bienes señalado que SODIMAC manifiesta que los materiales serán entregados indefectiblemente el día 20 de enero teniendo en cuenta que la fuerte demanda había rebasado la capacidad de producción de los mismos, por lo que, la Entidad volvió a otorgarle la ampliación solicitada suscribiendo la Addenda Nº 02 con fecha de vencimiento del 04 de febrero de 2008.</w:t>
      </w:r>
    </w:p>
    <w:p w:rsidR="00673A30" w:rsidRPr="00673A30" w:rsidRDefault="00673A30" w:rsidP="00673A30">
      <w:pPr>
        <w:pStyle w:val="Prrafodelista"/>
        <w:rPr>
          <w:rFonts w:ascii="Tahoma" w:hAnsi="Tahoma" w:cs="Tahoma"/>
          <w:sz w:val="20"/>
        </w:rPr>
      </w:pPr>
    </w:p>
    <w:p w:rsidR="00673A30" w:rsidRPr="00673A30" w:rsidRDefault="00673A30" w:rsidP="00673A30">
      <w:pPr>
        <w:pStyle w:val="Lista3"/>
        <w:numPr>
          <w:ilvl w:val="0"/>
          <w:numId w:val="12"/>
        </w:numPr>
        <w:spacing w:after="0" w:line="240" w:lineRule="auto"/>
        <w:ind w:left="567" w:hanging="567"/>
        <w:jc w:val="both"/>
        <w:rPr>
          <w:rFonts w:ascii="Tahoma" w:hAnsi="Tahoma" w:cs="Tahoma"/>
          <w:sz w:val="20"/>
          <w:szCs w:val="20"/>
        </w:rPr>
      </w:pPr>
      <w:r w:rsidRPr="00673A30">
        <w:rPr>
          <w:rFonts w:ascii="Tahoma" w:hAnsi="Tahoma" w:cs="Tahoma"/>
          <w:sz w:val="20"/>
          <w:szCs w:val="20"/>
        </w:rPr>
        <w:t>Sin embargo, el 1 de febrero de 2008 la Contratista solicita una vez más la ampliación del plazo de entrega manifestando que debido a un accidente automovilístico habían quedado destrozadas 700 láminas de vidrio a ser utilizadas en 350 módulos de vivienda, lo cual generaba un contratiempo a fin de culminar con la entrega de los mismos, lo cual debía ser considerado como un hecho de caso fortuito.</w:t>
      </w:r>
    </w:p>
    <w:p w:rsidR="00673A30" w:rsidRPr="00673A30" w:rsidRDefault="00673A30" w:rsidP="00673A30">
      <w:pPr>
        <w:pStyle w:val="Prrafodelista"/>
        <w:rPr>
          <w:rFonts w:ascii="Tahoma" w:hAnsi="Tahoma" w:cs="Tahoma"/>
          <w:sz w:val="20"/>
        </w:rPr>
      </w:pPr>
    </w:p>
    <w:p w:rsidR="00673A30" w:rsidRPr="00673A30" w:rsidRDefault="00673A30" w:rsidP="00673A30">
      <w:pPr>
        <w:pStyle w:val="Lista3"/>
        <w:numPr>
          <w:ilvl w:val="0"/>
          <w:numId w:val="12"/>
        </w:numPr>
        <w:spacing w:after="0" w:line="240" w:lineRule="auto"/>
        <w:ind w:left="567" w:hanging="567"/>
        <w:jc w:val="both"/>
        <w:rPr>
          <w:rFonts w:ascii="Tahoma" w:hAnsi="Tahoma" w:cs="Tahoma"/>
          <w:sz w:val="20"/>
          <w:szCs w:val="20"/>
        </w:rPr>
      </w:pPr>
      <w:r w:rsidRPr="00673A30">
        <w:rPr>
          <w:rFonts w:ascii="Tahoma" w:hAnsi="Tahoma" w:cs="Tahoma"/>
          <w:sz w:val="20"/>
          <w:szCs w:val="20"/>
        </w:rPr>
        <w:t>Sobre el particular, la Entidad denegó la solicitud considerando que tan solo cinco días después de ocurrido el accidente referido, la Contratista remite una comunicación solicitando se le otorgue la conformidad del 100% de los bienes. Ante tal contradicción, no procedió la tercera solicitud de ampliación del plazo. En vista de ello, y según el Acta de Constatación levantada el día 09 de febrero de 2008, en el que se advierte que aun faltaban instalar 255 módulos que se encontraban incompletos, se produjo la resolución del contrato.</w:t>
      </w:r>
    </w:p>
    <w:p w:rsidR="00673A30" w:rsidRPr="00673A30" w:rsidRDefault="00673A30" w:rsidP="00673A30">
      <w:pPr>
        <w:pStyle w:val="Prrafodelista"/>
        <w:rPr>
          <w:rFonts w:ascii="Tahoma" w:hAnsi="Tahoma" w:cs="Tahoma"/>
          <w:sz w:val="20"/>
        </w:rPr>
      </w:pPr>
    </w:p>
    <w:p w:rsidR="00673A30" w:rsidRPr="00673A30" w:rsidRDefault="00673A30" w:rsidP="00673A30">
      <w:pPr>
        <w:pStyle w:val="Lista3"/>
        <w:numPr>
          <w:ilvl w:val="0"/>
          <w:numId w:val="12"/>
        </w:numPr>
        <w:spacing w:after="0" w:line="240" w:lineRule="auto"/>
        <w:ind w:left="566" w:hanging="566"/>
        <w:jc w:val="both"/>
        <w:rPr>
          <w:rFonts w:ascii="Tahoma" w:hAnsi="Tahoma" w:cs="Tahoma"/>
          <w:sz w:val="20"/>
          <w:szCs w:val="20"/>
        </w:rPr>
      </w:pPr>
      <w:r w:rsidRPr="00673A30">
        <w:rPr>
          <w:rFonts w:ascii="Tahoma" w:hAnsi="Tahoma" w:cs="Tahoma"/>
          <w:sz w:val="20"/>
          <w:szCs w:val="20"/>
        </w:rPr>
        <w:t>En virtud de lo señalado, cabe indicar que de conformidad con lo establecido en el artículo 222 del Reglamento, una vez que el contratista haya acumulado el máximo de penalidad permitida, la Entidad podrá resolver el contrato por incumplimiento; por lo tanto, en el presente caso, como es el de un contrato de compra venta (entrega e instalación de módulos), la demora se computa en función a la fecha de entrega.</w:t>
      </w:r>
    </w:p>
    <w:p w:rsidR="00673A30" w:rsidRPr="00673A30" w:rsidRDefault="00673A30" w:rsidP="00673A30">
      <w:pPr>
        <w:pStyle w:val="Prrafodelista"/>
        <w:rPr>
          <w:rFonts w:ascii="Tahoma" w:hAnsi="Tahoma" w:cs="Tahoma"/>
          <w:sz w:val="20"/>
        </w:rPr>
      </w:pPr>
    </w:p>
    <w:p w:rsidR="00673A30" w:rsidRPr="00673A30" w:rsidRDefault="00673A30" w:rsidP="00673A30">
      <w:pPr>
        <w:pStyle w:val="Lista3"/>
        <w:numPr>
          <w:ilvl w:val="0"/>
          <w:numId w:val="12"/>
        </w:numPr>
        <w:spacing w:after="0" w:line="240" w:lineRule="auto"/>
        <w:ind w:left="566" w:hanging="566"/>
        <w:jc w:val="both"/>
        <w:rPr>
          <w:rFonts w:ascii="Tahoma" w:hAnsi="Tahoma" w:cs="Tahoma"/>
          <w:sz w:val="20"/>
          <w:szCs w:val="20"/>
        </w:rPr>
      </w:pPr>
      <w:r w:rsidRPr="00673A30">
        <w:rPr>
          <w:rFonts w:ascii="Tahoma" w:hAnsi="Tahoma" w:cs="Tahoma"/>
          <w:sz w:val="20"/>
          <w:szCs w:val="20"/>
        </w:rPr>
        <w:t xml:space="preserve">Cabe mencionar que, la Entidad, </w:t>
      </w:r>
      <w:r w:rsidRPr="00673A30">
        <w:rPr>
          <w:rFonts w:ascii="Tahoma" w:hAnsi="Tahoma" w:cs="Tahoma"/>
          <w:sz w:val="20"/>
          <w:szCs w:val="20"/>
          <w:lang w:val="es-ES_tradnl"/>
        </w:rPr>
        <w:t>el 12 de noviembre de 2010, remitió un escrito a través del cual adjuntó el laudo arbitral. U</w:t>
      </w:r>
      <w:r w:rsidRPr="00673A30">
        <w:rPr>
          <w:rFonts w:ascii="Tahoma" w:hAnsi="Tahoma" w:cs="Tahoma"/>
          <w:sz w:val="20"/>
          <w:szCs w:val="20"/>
        </w:rPr>
        <w:t xml:space="preserve">no de los puntos controvertidos que fue materia de análisis y posterior resolución del referido Arbitraje fue el determinar si correspondía o no declarar si la resolución del contrato efectuada por la Entidad, por la causal que se refiere el numeral 2) del artículo 225º del Reglamento del T.U.O. de la Ley de Contrataciones y Adquisiciones del Estado, era totalmente válida y eficaz.   </w:t>
      </w:r>
    </w:p>
    <w:p w:rsidR="00673A30" w:rsidRPr="00673A30" w:rsidRDefault="00673A30" w:rsidP="00673A30">
      <w:pPr>
        <w:pStyle w:val="Prrafodelista"/>
        <w:rPr>
          <w:rFonts w:ascii="Tahoma" w:hAnsi="Tahoma" w:cs="Tahoma"/>
          <w:sz w:val="20"/>
        </w:rPr>
      </w:pPr>
    </w:p>
    <w:p w:rsidR="00673A30" w:rsidRPr="00673A30" w:rsidRDefault="00673A30" w:rsidP="00673A30">
      <w:pPr>
        <w:pStyle w:val="Lista3"/>
        <w:numPr>
          <w:ilvl w:val="0"/>
          <w:numId w:val="12"/>
        </w:numPr>
        <w:spacing w:after="0" w:line="240" w:lineRule="auto"/>
        <w:ind w:left="566" w:hanging="566"/>
        <w:jc w:val="both"/>
        <w:rPr>
          <w:rFonts w:ascii="Tahoma" w:hAnsi="Tahoma" w:cs="Tahoma"/>
          <w:sz w:val="20"/>
          <w:szCs w:val="20"/>
        </w:rPr>
      </w:pPr>
      <w:r w:rsidRPr="00673A30">
        <w:rPr>
          <w:rFonts w:ascii="Tahoma" w:hAnsi="Tahoma" w:cs="Tahoma"/>
          <w:sz w:val="20"/>
          <w:szCs w:val="20"/>
        </w:rPr>
        <w:t xml:space="preserve">En ese sentido, y de acuerdo al examen realizado por el Árbitro Único, se advierte que al haber sido suscrita una segunda Addenda al contrato, este quedó vigente hasta el 04 de febrero de 2008, fecha en la cual la Contratista debía haber entregado la totalidad de los 1100 módulos de vivienda. Sin embargo, pasada dicha fecha existía un saldo por entregar de 218 módulos. De este modo, al haber incumplido su obligación empezó a </w:t>
      </w:r>
      <w:r w:rsidRPr="00673A30">
        <w:rPr>
          <w:rFonts w:ascii="Tahoma" w:hAnsi="Tahoma" w:cs="Tahoma"/>
          <w:sz w:val="20"/>
          <w:szCs w:val="20"/>
        </w:rPr>
        <w:lastRenderedPageBreak/>
        <w:t>generarse la penalidad correspondiente, hasta el monto de S/. 671,000.00 Nuevos Soles, correspondiente a la máxima penalidad (10% del contrato), razón por la cual el contrato fue resuelto el 27 de febrero de 2008 concluyendo el Arbitro que la resolución del contrato es válido y eficaz.</w:t>
      </w:r>
    </w:p>
    <w:p w:rsidR="00673A30" w:rsidRPr="00673A30" w:rsidRDefault="00673A30" w:rsidP="00673A30">
      <w:pPr>
        <w:pStyle w:val="Prrafodelista"/>
        <w:rPr>
          <w:rFonts w:ascii="Tahoma" w:hAnsi="Tahoma" w:cs="Tahoma"/>
          <w:sz w:val="20"/>
        </w:rPr>
      </w:pPr>
    </w:p>
    <w:p w:rsidR="00673A30" w:rsidRPr="00673A30" w:rsidRDefault="00673A30" w:rsidP="00673A30">
      <w:pPr>
        <w:pStyle w:val="Lista3"/>
        <w:numPr>
          <w:ilvl w:val="0"/>
          <w:numId w:val="12"/>
        </w:numPr>
        <w:spacing w:after="0" w:line="240" w:lineRule="auto"/>
        <w:ind w:left="566" w:hanging="566"/>
        <w:jc w:val="both"/>
        <w:rPr>
          <w:rFonts w:ascii="Tahoma" w:hAnsi="Tahoma" w:cs="Tahoma"/>
          <w:sz w:val="20"/>
          <w:szCs w:val="20"/>
        </w:rPr>
      </w:pPr>
      <w:r w:rsidRPr="00673A30">
        <w:rPr>
          <w:rFonts w:ascii="Tahoma" w:hAnsi="Tahoma" w:cs="Tahoma"/>
          <w:sz w:val="20"/>
          <w:szCs w:val="20"/>
        </w:rPr>
        <w:t>Por otra parte, el Árbitro también se pronunció respecto a si la resolución del contrato le era atribuible o no a la Contratista, ya que esta sostenía que su última solicitud de ampliación de plazo debió ser amparada por la Entidad, respecto a ello el Árbitro Único evaluó si las razones que llevaron a la Contratista a no cumplir con su obligación contractual en el plazo previsto le eran o no imputables.</w:t>
      </w:r>
    </w:p>
    <w:p w:rsidR="00673A30" w:rsidRPr="00673A30" w:rsidRDefault="00673A30" w:rsidP="00673A30">
      <w:pPr>
        <w:pStyle w:val="Prrafodelista"/>
        <w:rPr>
          <w:rFonts w:ascii="Tahoma" w:hAnsi="Tahoma" w:cs="Tahoma"/>
          <w:sz w:val="20"/>
        </w:rPr>
      </w:pPr>
    </w:p>
    <w:p w:rsidR="00673A30" w:rsidRPr="00673A30" w:rsidRDefault="00673A30" w:rsidP="00673A30">
      <w:pPr>
        <w:pStyle w:val="Lista3"/>
        <w:numPr>
          <w:ilvl w:val="0"/>
          <w:numId w:val="12"/>
        </w:numPr>
        <w:spacing w:after="0" w:line="240" w:lineRule="auto"/>
        <w:ind w:left="566" w:hanging="566"/>
        <w:jc w:val="both"/>
        <w:rPr>
          <w:rFonts w:ascii="Tahoma" w:hAnsi="Tahoma" w:cs="Tahoma"/>
          <w:sz w:val="20"/>
          <w:szCs w:val="20"/>
        </w:rPr>
      </w:pPr>
      <w:r w:rsidRPr="00673A30">
        <w:rPr>
          <w:rFonts w:ascii="Tahoma" w:hAnsi="Tahoma" w:cs="Tahoma"/>
          <w:sz w:val="20"/>
          <w:szCs w:val="20"/>
        </w:rPr>
        <w:t xml:space="preserve">En ese sentido, a fin de determinar si efectivamente el incumplimiento contractual le es atribuible a la Contratista y por ende, la resolución del Contrato EXO Nº 001-2007-VIVIENDA-OGA-UE002 y las respectivas Adendas, cabe analizar, si tal como lo señala la Contratista, el incumplimiento en la prestación obedeció a razones de caso fortuito o fuerza mayor, mas aun teniendo en cuenta que en el escrito de descargos presentado a este Tribunal, por la Contratista el 07 de marzo de 2011, sólo hace referencia a que el pago de la parte ejecutada del Contrato a su favor fue trasladado a la cuenta del Gerente General de la empresa </w:t>
      </w:r>
      <w:r w:rsidRPr="00673A30">
        <w:rPr>
          <w:rFonts w:ascii="Tahoma" w:hAnsi="Tahoma" w:cs="Tahoma"/>
          <w:sz w:val="20"/>
          <w:szCs w:val="20"/>
          <w:lang w:val="es-ES_tradnl"/>
        </w:rPr>
        <w:t>INVERSIONES Y CONSTRUCTORA SINALCE.</w:t>
      </w:r>
    </w:p>
    <w:p w:rsidR="00673A30" w:rsidRPr="00673A30" w:rsidRDefault="00673A30" w:rsidP="00673A30">
      <w:pPr>
        <w:pStyle w:val="Prrafodelista"/>
        <w:rPr>
          <w:rFonts w:ascii="Tahoma" w:hAnsi="Tahoma" w:cs="Tahoma"/>
          <w:sz w:val="20"/>
        </w:rPr>
      </w:pPr>
    </w:p>
    <w:p w:rsidR="00673A30" w:rsidRPr="00673A30" w:rsidRDefault="00673A30" w:rsidP="00673A30">
      <w:pPr>
        <w:pStyle w:val="Lista3"/>
        <w:numPr>
          <w:ilvl w:val="0"/>
          <w:numId w:val="12"/>
        </w:numPr>
        <w:spacing w:after="0" w:line="240" w:lineRule="auto"/>
        <w:ind w:left="566" w:hanging="566"/>
        <w:jc w:val="both"/>
        <w:rPr>
          <w:rFonts w:ascii="Tahoma" w:hAnsi="Tahoma" w:cs="Tahoma"/>
          <w:sz w:val="20"/>
          <w:szCs w:val="20"/>
        </w:rPr>
      </w:pPr>
      <w:r w:rsidRPr="00673A30">
        <w:rPr>
          <w:rFonts w:ascii="Tahoma" w:hAnsi="Tahoma" w:cs="Tahoma"/>
          <w:sz w:val="20"/>
          <w:szCs w:val="20"/>
        </w:rPr>
        <w:t xml:space="preserve">En ese sentido, cabe señalar que la Entidad aprobó las dos iníciales solicitudes de ampliación en el plazo de entrega de los bienes estableciéndose como fecha última de plazo </w:t>
      </w:r>
      <w:r w:rsidRPr="00673A30">
        <w:rPr>
          <w:rFonts w:ascii="Tahoma" w:hAnsi="Tahoma" w:cs="Tahoma"/>
          <w:sz w:val="20"/>
          <w:szCs w:val="20"/>
          <w:lang w:val="es-ES_tradnl"/>
        </w:rPr>
        <w:t>el 04 de febrero de 2008. Sin embargo, la Contratista no cumplió con dicho plazo, indicando que producto de un accidente automovilístico acaecido el 30 de enero de 2008, el embarque de la empresa FURUKAWA, proveedor de las 700 laminas de vidrio para los módulos, se habían destruido, hecho de caso fortuito que imposibilitó cumplir con la entrega debida en el plazo de tiempo estipulado.</w:t>
      </w:r>
    </w:p>
    <w:p w:rsidR="00673A30" w:rsidRPr="00673A30" w:rsidRDefault="00673A30" w:rsidP="00673A30">
      <w:pPr>
        <w:pStyle w:val="Prrafodelista"/>
        <w:rPr>
          <w:rFonts w:ascii="Tahoma" w:hAnsi="Tahoma" w:cs="Tahoma"/>
          <w:sz w:val="20"/>
        </w:rPr>
      </w:pPr>
    </w:p>
    <w:p w:rsidR="00673A30" w:rsidRPr="00673A30" w:rsidRDefault="00673A30" w:rsidP="00673A30">
      <w:pPr>
        <w:pStyle w:val="Lista3"/>
        <w:numPr>
          <w:ilvl w:val="0"/>
          <w:numId w:val="12"/>
        </w:numPr>
        <w:spacing w:after="0" w:line="240" w:lineRule="auto"/>
        <w:ind w:left="566" w:hanging="566"/>
        <w:jc w:val="both"/>
        <w:rPr>
          <w:rFonts w:ascii="Tahoma" w:hAnsi="Tahoma" w:cs="Tahoma"/>
          <w:sz w:val="20"/>
          <w:szCs w:val="20"/>
        </w:rPr>
      </w:pPr>
      <w:r w:rsidRPr="00673A30">
        <w:rPr>
          <w:rFonts w:ascii="Tahoma" w:hAnsi="Tahoma" w:cs="Tahoma"/>
          <w:sz w:val="20"/>
          <w:szCs w:val="20"/>
        </w:rPr>
        <w:t xml:space="preserve">Sobre el particular, cabe analizar si el hecho descrito anteriormente configura una situación de caso fortuito o fuerza mayor, tal como señala la Contratista, por lo que resulta pertinente definir en qué consiste éste para determinar si se produjo tal condición. </w:t>
      </w:r>
    </w:p>
    <w:p w:rsidR="00673A30" w:rsidRPr="00673A30" w:rsidRDefault="00673A30" w:rsidP="00673A30">
      <w:pPr>
        <w:pStyle w:val="Prrafodelista"/>
        <w:rPr>
          <w:rFonts w:ascii="Tahoma" w:hAnsi="Tahoma" w:cs="Tahoma"/>
          <w:sz w:val="20"/>
        </w:rPr>
      </w:pPr>
    </w:p>
    <w:p w:rsidR="00673A30" w:rsidRPr="00673A30" w:rsidRDefault="00673A30" w:rsidP="00673A30">
      <w:pPr>
        <w:pStyle w:val="Lista3"/>
        <w:numPr>
          <w:ilvl w:val="0"/>
          <w:numId w:val="12"/>
        </w:numPr>
        <w:spacing w:after="0" w:line="240" w:lineRule="auto"/>
        <w:ind w:left="566" w:hanging="566"/>
        <w:jc w:val="both"/>
        <w:rPr>
          <w:rFonts w:ascii="Tahoma" w:hAnsi="Tahoma" w:cs="Tahoma"/>
          <w:sz w:val="20"/>
          <w:szCs w:val="20"/>
        </w:rPr>
      </w:pPr>
      <w:r w:rsidRPr="00673A30">
        <w:rPr>
          <w:rFonts w:ascii="Tahoma" w:hAnsi="Tahoma" w:cs="Tahoma"/>
          <w:sz w:val="20"/>
          <w:szCs w:val="20"/>
        </w:rPr>
        <w:t>A este respecto, es conveniente señalar que el caso fortuito o la fuerza mayor constituyen figuras previstas por el ordenamiento jurídico y son definidas, por lo general, como sucesos o acontecimientos inopinados e imprevistos o cuyo resultado, siendo previsibles, no han podido evitarse o resistirse</w:t>
      </w:r>
      <w:r w:rsidRPr="00673A30">
        <w:rPr>
          <w:rStyle w:val="Refdenotaalpie"/>
          <w:rFonts w:ascii="Tahoma" w:hAnsi="Tahoma" w:cs="Tahoma"/>
          <w:sz w:val="20"/>
          <w:szCs w:val="20"/>
        </w:rPr>
        <w:footnoteReference w:id="6"/>
      </w:r>
      <w:r w:rsidRPr="00673A30">
        <w:rPr>
          <w:rFonts w:ascii="Tahoma" w:hAnsi="Tahoma" w:cs="Tahoma"/>
          <w:sz w:val="20"/>
          <w:szCs w:val="20"/>
        </w:rPr>
        <w:t>.</w:t>
      </w:r>
    </w:p>
    <w:p w:rsidR="00673A30" w:rsidRPr="00673A30" w:rsidRDefault="00673A30" w:rsidP="00673A30">
      <w:pPr>
        <w:jc w:val="both"/>
        <w:rPr>
          <w:rFonts w:ascii="Tahoma" w:hAnsi="Tahoma" w:cs="Tahoma"/>
          <w:sz w:val="20"/>
          <w:szCs w:val="20"/>
        </w:rPr>
      </w:pPr>
    </w:p>
    <w:p w:rsidR="00673A30" w:rsidRPr="00673A30" w:rsidRDefault="00673A30" w:rsidP="00673A30">
      <w:pPr>
        <w:pStyle w:val="Textoindependiente"/>
        <w:ind w:left="540"/>
        <w:jc w:val="both"/>
        <w:rPr>
          <w:rFonts w:ascii="Tahoma" w:hAnsi="Tahoma" w:cs="Tahoma"/>
          <w:sz w:val="20"/>
          <w:szCs w:val="20"/>
        </w:rPr>
      </w:pPr>
      <w:r w:rsidRPr="00673A30">
        <w:rPr>
          <w:rFonts w:ascii="Tahoma" w:hAnsi="Tahoma" w:cs="Tahoma"/>
          <w:sz w:val="20"/>
          <w:szCs w:val="20"/>
        </w:rPr>
        <w:t>Doctrinariamente se puede distinguir ambas figuras, asimilándose al caso fortuito los acontecimientos que provienen de la naturaleza, en tanto que la fuerza mayor es atribuida a los que provienen del hombre, pero en ambos casos la característica común es que el acontecimiento se encuentra fuera de la voluntad y del control de las partes contratantes.</w:t>
      </w:r>
    </w:p>
    <w:p w:rsidR="00673A30" w:rsidRPr="00673A30" w:rsidRDefault="00673A30" w:rsidP="00673A30">
      <w:pPr>
        <w:ind w:left="540" w:hanging="540"/>
        <w:jc w:val="both"/>
        <w:rPr>
          <w:rFonts w:ascii="Tahoma" w:hAnsi="Tahoma" w:cs="Tahoma"/>
          <w:sz w:val="20"/>
          <w:szCs w:val="20"/>
        </w:rPr>
      </w:pPr>
      <w:r w:rsidRPr="00673A30">
        <w:rPr>
          <w:rFonts w:ascii="Tahoma" w:hAnsi="Tahoma" w:cs="Tahoma"/>
          <w:sz w:val="20"/>
          <w:szCs w:val="20"/>
        </w:rPr>
        <w:tab/>
        <w:t xml:space="preserve">De acuerdo a ello, debe tenerse en cuenta lo dispuesto por el Código Civil, cuerpo normativo aplicable de manera supletoria al caso que nos ocupa. En este sentido, el Código Civil establece en su artículo 1315 que el caso fortuito o la fuerza mayor es la </w:t>
      </w:r>
      <w:r w:rsidRPr="00673A30">
        <w:rPr>
          <w:rFonts w:ascii="Tahoma" w:hAnsi="Tahoma" w:cs="Tahoma"/>
          <w:sz w:val="20"/>
          <w:szCs w:val="20"/>
        </w:rPr>
        <w:lastRenderedPageBreak/>
        <w:t>causa no imputable, consistente en un evento extraordinario, imprevisible e irresistible, que impide la ejecución de la obligación o determina su cumplimiento parcial, tardío o defectuoso.</w:t>
      </w:r>
    </w:p>
    <w:p w:rsidR="00673A30" w:rsidRPr="00673A30" w:rsidRDefault="00673A30" w:rsidP="00673A30">
      <w:pPr>
        <w:ind w:left="540" w:hanging="540"/>
        <w:jc w:val="both"/>
        <w:rPr>
          <w:rFonts w:ascii="Tahoma" w:hAnsi="Tahoma" w:cs="Tahoma"/>
          <w:sz w:val="20"/>
          <w:szCs w:val="20"/>
        </w:rPr>
      </w:pPr>
      <w:r w:rsidRPr="00673A30">
        <w:rPr>
          <w:rFonts w:ascii="Tahoma" w:hAnsi="Tahoma" w:cs="Tahoma"/>
          <w:sz w:val="20"/>
          <w:szCs w:val="20"/>
        </w:rPr>
        <w:tab/>
      </w:r>
    </w:p>
    <w:p w:rsidR="00673A30" w:rsidRPr="00673A30" w:rsidRDefault="00673A30" w:rsidP="00673A30">
      <w:pPr>
        <w:ind w:left="540" w:hanging="540"/>
        <w:jc w:val="both"/>
        <w:rPr>
          <w:rFonts w:ascii="Tahoma" w:hAnsi="Tahoma" w:cs="Tahoma"/>
          <w:b/>
          <w:sz w:val="20"/>
          <w:szCs w:val="20"/>
          <w:u w:val="single"/>
        </w:rPr>
      </w:pPr>
      <w:r w:rsidRPr="00673A30">
        <w:rPr>
          <w:rFonts w:ascii="Tahoma" w:hAnsi="Tahoma" w:cs="Tahoma"/>
          <w:sz w:val="20"/>
          <w:szCs w:val="20"/>
        </w:rPr>
        <w:tab/>
      </w:r>
      <w:r w:rsidRPr="00673A30">
        <w:rPr>
          <w:rFonts w:ascii="Tahoma" w:hAnsi="Tahoma" w:cs="Tahoma"/>
          <w:b/>
          <w:sz w:val="20"/>
          <w:szCs w:val="20"/>
          <w:u w:val="single"/>
        </w:rPr>
        <w:t>De lo extraordinario</w:t>
      </w:r>
    </w:p>
    <w:p w:rsidR="00673A30" w:rsidRPr="00673A30" w:rsidRDefault="00673A30" w:rsidP="00673A30">
      <w:pPr>
        <w:jc w:val="both"/>
        <w:rPr>
          <w:rFonts w:ascii="Tahoma" w:hAnsi="Tahoma" w:cs="Tahoma"/>
          <w:sz w:val="20"/>
          <w:szCs w:val="20"/>
        </w:rPr>
      </w:pPr>
    </w:p>
    <w:p w:rsidR="00673A30" w:rsidRPr="00673A30" w:rsidRDefault="00673A30" w:rsidP="00673A30">
      <w:pPr>
        <w:pStyle w:val="Prrafodelista"/>
        <w:widowControl/>
        <w:numPr>
          <w:ilvl w:val="0"/>
          <w:numId w:val="12"/>
        </w:numPr>
        <w:suppressAutoHyphens w:val="0"/>
        <w:ind w:left="567" w:hanging="567"/>
        <w:jc w:val="both"/>
        <w:rPr>
          <w:rFonts w:ascii="Tahoma" w:eastAsia="Calibri" w:hAnsi="Tahoma" w:cs="Tahoma"/>
          <w:sz w:val="20"/>
          <w:lang w:eastAsia="en-US"/>
        </w:rPr>
      </w:pPr>
      <w:r w:rsidRPr="00673A30">
        <w:rPr>
          <w:rFonts w:ascii="Tahoma" w:eastAsia="Calibri" w:hAnsi="Tahoma" w:cs="Tahoma"/>
          <w:sz w:val="20"/>
          <w:lang w:eastAsia="en-US"/>
        </w:rPr>
        <w:t xml:space="preserve">Hablamos de un hecho extraordinario cuando, tal como la misma palabra lo indica, sucede algo fuera de lo ordinario, es decir, fuera de lo común y de lo que en forma normal o natural se espera que ocurra. </w:t>
      </w:r>
    </w:p>
    <w:p w:rsidR="00673A30" w:rsidRPr="00673A30" w:rsidRDefault="00673A30" w:rsidP="00673A30">
      <w:pPr>
        <w:pStyle w:val="Prrafodelista"/>
        <w:ind w:left="567"/>
        <w:jc w:val="both"/>
        <w:rPr>
          <w:rFonts w:ascii="Tahoma" w:eastAsia="Calibri" w:hAnsi="Tahoma" w:cs="Tahoma"/>
          <w:sz w:val="20"/>
          <w:lang w:eastAsia="en-US"/>
        </w:rPr>
      </w:pPr>
    </w:p>
    <w:p w:rsidR="00673A30" w:rsidRPr="00673A30" w:rsidRDefault="00673A30" w:rsidP="00673A30">
      <w:pPr>
        <w:pStyle w:val="Prrafodelista"/>
        <w:widowControl/>
        <w:numPr>
          <w:ilvl w:val="0"/>
          <w:numId w:val="12"/>
        </w:numPr>
        <w:suppressAutoHyphens w:val="0"/>
        <w:ind w:left="567" w:hanging="567"/>
        <w:jc w:val="both"/>
        <w:rPr>
          <w:rFonts w:ascii="Tahoma" w:eastAsia="Calibri" w:hAnsi="Tahoma" w:cs="Tahoma"/>
          <w:sz w:val="20"/>
          <w:lang w:eastAsia="en-US"/>
        </w:rPr>
      </w:pPr>
      <w:r w:rsidRPr="00673A30">
        <w:rPr>
          <w:rFonts w:ascii="Tahoma" w:eastAsia="Calibri" w:hAnsi="Tahoma" w:cs="Tahoma"/>
          <w:sz w:val="20"/>
          <w:lang w:eastAsia="en-US"/>
        </w:rPr>
        <w:t>Teniendo en cuenta ello, el accidente automovilístico, aunque analizado de manera abstracta es una circunstancia común, en el presente caso,  no es una situación ordinaria dentro de las actividades usuales de la Contratista, dedicada a la Construcción, como sería el caso de una empresa de transporte, el cual debe contemplar dentro de su estructura de costos dicha situación.</w:t>
      </w:r>
    </w:p>
    <w:p w:rsidR="00673A30" w:rsidRPr="00673A30" w:rsidRDefault="00673A30" w:rsidP="00673A30">
      <w:pPr>
        <w:pStyle w:val="Prrafodelista"/>
        <w:rPr>
          <w:rFonts w:ascii="Tahoma" w:eastAsia="Calibri" w:hAnsi="Tahoma" w:cs="Tahoma"/>
          <w:sz w:val="20"/>
          <w:lang w:eastAsia="en-US"/>
        </w:rPr>
      </w:pPr>
    </w:p>
    <w:p w:rsidR="00673A30" w:rsidRPr="00673A30" w:rsidRDefault="00673A30" w:rsidP="00673A30">
      <w:pPr>
        <w:pStyle w:val="Prrafodelista"/>
        <w:ind w:left="567"/>
        <w:jc w:val="both"/>
        <w:rPr>
          <w:rFonts w:ascii="Tahoma" w:eastAsia="Calibri" w:hAnsi="Tahoma" w:cs="Tahoma"/>
          <w:sz w:val="20"/>
          <w:lang w:eastAsia="en-US"/>
        </w:rPr>
      </w:pPr>
      <w:r w:rsidRPr="00673A30">
        <w:rPr>
          <w:rFonts w:ascii="Tahoma" w:eastAsia="Calibri" w:hAnsi="Tahoma" w:cs="Tahoma"/>
          <w:sz w:val="20"/>
          <w:lang w:eastAsia="en-US"/>
        </w:rPr>
        <w:t>En ese sentido, el accidente automovilístico si constituye un hecho extraordinario.</w:t>
      </w:r>
    </w:p>
    <w:p w:rsidR="00673A30" w:rsidRPr="00673A30" w:rsidRDefault="00673A30" w:rsidP="00673A30">
      <w:pPr>
        <w:pStyle w:val="Prrafodelista"/>
        <w:rPr>
          <w:rFonts w:ascii="Tahoma" w:eastAsia="Calibri" w:hAnsi="Tahoma" w:cs="Tahoma"/>
          <w:sz w:val="20"/>
          <w:lang w:eastAsia="en-US"/>
        </w:rPr>
      </w:pPr>
    </w:p>
    <w:p w:rsidR="00673A30" w:rsidRPr="00673A30" w:rsidRDefault="00673A30" w:rsidP="00673A30">
      <w:pPr>
        <w:pStyle w:val="Prrafodelista"/>
        <w:ind w:left="567"/>
        <w:jc w:val="both"/>
        <w:rPr>
          <w:rFonts w:ascii="Tahoma" w:hAnsi="Tahoma" w:cs="Tahoma"/>
          <w:b/>
          <w:sz w:val="20"/>
          <w:u w:val="single"/>
        </w:rPr>
      </w:pPr>
      <w:r w:rsidRPr="00673A30">
        <w:rPr>
          <w:rFonts w:ascii="Tahoma" w:hAnsi="Tahoma" w:cs="Tahoma"/>
          <w:b/>
          <w:sz w:val="20"/>
          <w:u w:val="single"/>
        </w:rPr>
        <w:t>De lo imprevisible</w:t>
      </w:r>
    </w:p>
    <w:p w:rsidR="00673A30" w:rsidRPr="00673A30" w:rsidRDefault="00673A30" w:rsidP="00673A30">
      <w:pPr>
        <w:pStyle w:val="Prrafodelista"/>
        <w:ind w:left="502"/>
        <w:jc w:val="both"/>
        <w:rPr>
          <w:rFonts w:ascii="Tahoma" w:hAnsi="Tahoma" w:cs="Tahoma"/>
          <w:b/>
          <w:sz w:val="20"/>
          <w:u w:val="single"/>
        </w:rPr>
      </w:pPr>
    </w:p>
    <w:p w:rsidR="00673A30" w:rsidRPr="00673A30" w:rsidRDefault="00673A30" w:rsidP="00673A30">
      <w:pPr>
        <w:pStyle w:val="Prrafodelista"/>
        <w:widowControl/>
        <w:numPr>
          <w:ilvl w:val="0"/>
          <w:numId w:val="12"/>
        </w:numPr>
        <w:suppressAutoHyphens w:val="0"/>
        <w:ind w:left="567" w:hanging="567"/>
        <w:jc w:val="both"/>
        <w:rPr>
          <w:rFonts w:ascii="Tahoma" w:eastAsia="Calibri" w:hAnsi="Tahoma" w:cs="Tahoma"/>
          <w:sz w:val="20"/>
          <w:lang w:eastAsia="en-US"/>
        </w:rPr>
      </w:pPr>
      <w:r w:rsidRPr="00673A30">
        <w:rPr>
          <w:rFonts w:ascii="Tahoma" w:hAnsi="Tahoma" w:cs="Tahoma"/>
          <w:sz w:val="20"/>
        </w:rPr>
        <w:t>Decimos que un hecho o evento es imprevisible cuando supera o excede la aptitud normal de previsión del deudor en la relación obligatoria, puesto que el deudor tiene el deber de prever lo normalmente previsible, no así lo imprevisible</w:t>
      </w:r>
      <w:r w:rsidRPr="00673A30">
        <w:rPr>
          <w:rStyle w:val="Refdenotaalpie"/>
          <w:rFonts w:ascii="Tahoma" w:hAnsi="Tahoma" w:cs="Tahoma"/>
          <w:sz w:val="20"/>
        </w:rPr>
        <w:footnoteReference w:id="7"/>
      </w:r>
      <w:r w:rsidRPr="00673A30">
        <w:rPr>
          <w:rFonts w:ascii="Tahoma" w:hAnsi="Tahoma" w:cs="Tahoma"/>
          <w:sz w:val="20"/>
        </w:rPr>
        <w:t>.</w:t>
      </w:r>
    </w:p>
    <w:p w:rsidR="00673A30" w:rsidRPr="00673A30" w:rsidRDefault="00673A30" w:rsidP="00673A30">
      <w:pPr>
        <w:pStyle w:val="Prrafodelista"/>
        <w:ind w:left="502"/>
        <w:jc w:val="both"/>
        <w:rPr>
          <w:rFonts w:ascii="Tahoma" w:eastAsia="Calibri" w:hAnsi="Tahoma" w:cs="Tahoma"/>
          <w:sz w:val="20"/>
          <w:lang w:eastAsia="en-US"/>
        </w:rPr>
      </w:pPr>
    </w:p>
    <w:p w:rsidR="00673A30" w:rsidRPr="00673A30" w:rsidRDefault="00673A30" w:rsidP="00673A30">
      <w:pPr>
        <w:pStyle w:val="Prrafodelista"/>
        <w:widowControl/>
        <w:numPr>
          <w:ilvl w:val="0"/>
          <w:numId w:val="12"/>
        </w:numPr>
        <w:suppressAutoHyphens w:val="0"/>
        <w:ind w:left="567" w:hanging="567"/>
        <w:contextualSpacing/>
        <w:jc w:val="both"/>
        <w:rPr>
          <w:rFonts w:ascii="Tahoma" w:hAnsi="Tahoma" w:cs="Tahoma"/>
          <w:sz w:val="20"/>
        </w:rPr>
      </w:pPr>
      <w:r w:rsidRPr="00673A30">
        <w:rPr>
          <w:rFonts w:ascii="Tahoma" w:hAnsi="Tahoma" w:cs="Tahoma"/>
          <w:sz w:val="20"/>
        </w:rPr>
        <w:t>En el presente caso, y teniendo en cuenta la naturaleza del negocio de la contratista, ésta no pudo prever el accidente automovilístico, por no estar dentro de su esfera de protección, por lo tanto, el hecho materia de análisis es un evento imprevisible.</w:t>
      </w:r>
    </w:p>
    <w:p w:rsidR="00673A30" w:rsidRPr="00673A30" w:rsidRDefault="00673A30" w:rsidP="00673A30">
      <w:pPr>
        <w:rPr>
          <w:rFonts w:ascii="Tahoma" w:hAnsi="Tahoma" w:cs="Tahoma"/>
          <w:sz w:val="20"/>
          <w:szCs w:val="20"/>
        </w:rPr>
      </w:pPr>
    </w:p>
    <w:p w:rsidR="00673A30" w:rsidRPr="00673A30" w:rsidRDefault="00673A30" w:rsidP="00673A30">
      <w:pPr>
        <w:pStyle w:val="Prrafodelista"/>
        <w:ind w:left="567"/>
        <w:jc w:val="both"/>
        <w:rPr>
          <w:rFonts w:ascii="Tahoma" w:hAnsi="Tahoma" w:cs="Tahoma"/>
          <w:b/>
          <w:sz w:val="20"/>
          <w:u w:val="single"/>
        </w:rPr>
      </w:pPr>
      <w:r w:rsidRPr="00673A30">
        <w:rPr>
          <w:rFonts w:ascii="Tahoma" w:hAnsi="Tahoma" w:cs="Tahoma"/>
          <w:b/>
          <w:sz w:val="20"/>
          <w:u w:val="single"/>
        </w:rPr>
        <w:t>De lo irresistible</w:t>
      </w:r>
    </w:p>
    <w:p w:rsidR="00673A30" w:rsidRPr="00673A30" w:rsidRDefault="00673A30" w:rsidP="00673A30">
      <w:pPr>
        <w:pStyle w:val="Prrafodelista"/>
        <w:ind w:left="502"/>
        <w:jc w:val="both"/>
        <w:rPr>
          <w:rFonts w:ascii="Tahoma" w:hAnsi="Tahoma" w:cs="Tahoma"/>
          <w:b/>
          <w:sz w:val="20"/>
          <w:u w:val="single"/>
        </w:rPr>
      </w:pPr>
    </w:p>
    <w:p w:rsidR="00673A30" w:rsidRPr="00673A30" w:rsidRDefault="00673A30" w:rsidP="00673A30">
      <w:pPr>
        <w:numPr>
          <w:ilvl w:val="0"/>
          <w:numId w:val="12"/>
        </w:numPr>
        <w:ind w:left="567" w:hanging="567"/>
        <w:jc w:val="both"/>
        <w:rPr>
          <w:rFonts w:ascii="Tahoma" w:hAnsi="Tahoma" w:cs="Tahoma"/>
          <w:sz w:val="20"/>
          <w:szCs w:val="20"/>
        </w:rPr>
      </w:pPr>
      <w:r w:rsidRPr="00673A30">
        <w:rPr>
          <w:rFonts w:ascii="Tahoma" w:hAnsi="Tahoma" w:cs="Tahoma"/>
          <w:sz w:val="20"/>
          <w:szCs w:val="20"/>
        </w:rPr>
        <w:t xml:space="preserve">El que un evento sea irresistible significa que la persona es impotente para evitarlo; no puede impedir, por más que quiera o haga, su acaecimiento. </w:t>
      </w:r>
    </w:p>
    <w:p w:rsidR="00673A30" w:rsidRPr="00673A30" w:rsidRDefault="00673A30" w:rsidP="00673A30">
      <w:pPr>
        <w:ind w:left="502"/>
        <w:jc w:val="both"/>
        <w:rPr>
          <w:rFonts w:ascii="Tahoma" w:hAnsi="Tahoma" w:cs="Tahoma"/>
          <w:sz w:val="20"/>
          <w:szCs w:val="20"/>
        </w:rPr>
      </w:pPr>
    </w:p>
    <w:p w:rsidR="00673A30" w:rsidRPr="00673A30" w:rsidRDefault="00673A30" w:rsidP="00673A30">
      <w:pPr>
        <w:pStyle w:val="Prrafodelista"/>
        <w:widowControl/>
        <w:numPr>
          <w:ilvl w:val="0"/>
          <w:numId w:val="12"/>
        </w:numPr>
        <w:suppressAutoHyphens w:val="0"/>
        <w:ind w:left="567" w:hanging="567"/>
        <w:contextualSpacing/>
        <w:jc w:val="both"/>
        <w:rPr>
          <w:rFonts w:ascii="Tahoma" w:hAnsi="Tahoma" w:cs="Tahoma"/>
          <w:sz w:val="20"/>
        </w:rPr>
      </w:pPr>
      <w:r w:rsidRPr="00673A30">
        <w:rPr>
          <w:rFonts w:ascii="Tahoma" w:hAnsi="Tahoma" w:cs="Tahoma"/>
          <w:sz w:val="20"/>
        </w:rPr>
        <w:lastRenderedPageBreak/>
        <w:t xml:space="preserve">En ese sentido, la Contratista señala que la pérdida de las 700 láminas de vidrio a causa del accidente vehicular constituye la circunstancia que generó el incumplimiento de su obligación. </w:t>
      </w:r>
    </w:p>
    <w:p w:rsidR="00673A30" w:rsidRPr="00673A30" w:rsidRDefault="00673A30" w:rsidP="00673A30">
      <w:pPr>
        <w:pStyle w:val="Prrafodelista"/>
        <w:rPr>
          <w:rFonts w:ascii="Tahoma" w:hAnsi="Tahoma" w:cs="Tahoma"/>
          <w:sz w:val="20"/>
        </w:rPr>
      </w:pPr>
    </w:p>
    <w:p w:rsidR="00673A30" w:rsidRPr="00673A30" w:rsidRDefault="00673A30" w:rsidP="00673A30">
      <w:pPr>
        <w:pStyle w:val="Prrafodelista"/>
        <w:widowControl/>
        <w:numPr>
          <w:ilvl w:val="0"/>
          <w:numId w:val="12"/>
        </w:numPr>
        <w:suppressAutoHyphens w:val="0"/>
        <w:ind w:left="567" w:hanging="567"/>
        <w:contextualSpacing/>
        <w:jc w:val="both"/>
        <w:rPr>
          <w:rFonts w:ascii="Tahoma" w:hAnsi="Tahoma" w:cs="Tahoma"/>
          <w:sz w:val="20"/>
        </w:rPr>
      </w:pPr>
      <w:r w:rsidRPr="00673A30">
        <w:rPr>
          <w:rFonts w:ascii="Tahoma" w:hAnsi="Tahoma" w:cs="Tahoma"/>
          <w:sz w:val="20"/>
        </w:rPr>
        <w:t>Sin embargo, cabe señalar que este hecho no obstaba a fin que la Contratista pudiese tomar las acciones diligentes para cumplir con su obligación, ya que pudo haber adquirido las láminas de vidrio de proveedores distintos, sin perjuicio de repetir contra su proveedor original por los daños y perjuicios derivados de su incumplimiento. Teniendo en cuenta ello, el hecho descrito no revierte la característica de irresistibilidad</w:t>
      </w:r>
    </w:p>
    <w:p w:rsidR="00673A30" w:rsidRPr="00673A30" w:rsidRDefault="00673A30" w:rsidP="00673A30">
      <w:pPr>
        <w:pStyle w:val="Prrafodelista"/>
        <w:jc w:val="both"/>
        <w:rPr>
          <w:rFonts w:ascii="Tahoma" w:hAnsi="Tahoma" w:cs="Tahoma"/>
          <w:sz w:val="20"/>
        </w:rPr>
      </w:pPr>
    </w:p>
    <w:p w:rsidR="00673A30" w:rsidRPr="00673A30" w:rsidRDefault="00673A30" w:rsidP="00673A30">
      <w:pPr>
        <w:pStyle w:val="Prrafodelista"/>
        <w:widowControl/>
        <w:numPr>
          <w:ilvl w:val="0"/>
          <w:numId w:val="12"/>
        </w:numPr>
        <w:suppressAutoHyphens w:val="0"/>
        <w:ind w:left="567" w:hanging="567"/>
        <w:contextualSpacing/>
        <w:jc w:val="both"/>
        <w:rPr>
          <w:rFonts w:ascii="Tahoma" w:hAnsi="Tahoma" w:cs="Tahoma"/>
          <w:sz w:val="20"/>
        </w:rPr>
      </w:pPr>
      <w:r w:rsidRPr="00673A30">
        <w:rPr>
          <w:rFonts w:ascii="Tahoma" w:hAnsi="Tahoma" w:cs="Tahoma"/>
          <w:sz w:val="20"/>
        </w:rPr>
        <w:t xml:space="preserve">Por lo tanto, y siendo que la presencia conjunta de los elementos descritos determinan la existencia del caso fortuito o fuerza mayor a fin de eximir de responsabilidad al obligado, cabe indicar que el hecho descrito (accidente de tránsito), bajo el análisis efectuado, no constituye un caso que justifique el incumplimiento contractual y que determine la no resolución del contrato. </w:t>
      </w:r>
    </w:p>
    <w:p w:rsidR="00673A30" w:rsidRPr="00673A30" w:rsidRDefault="00673A30" w:rsidP="00673A30">
      <w:pPr>
        <w:pStyle w:val="Prrafodelista"/>
        <w:jc w:val="both"/>
        <w:rPr>
          <w:rFonts w:ascii="Tahoma" w:hAnsi="Tahoma" w:cs="Tahoma"/>
          <w:sz w:val="20"/>
        </w:rPr>
      </w:pPr>
    </w:p>
    <w:p w:rsidR="00673A30" w:rsidRPr="00673A30" w:rsidRDefault="00673A30" w:rsidP="00673A30">
      <w:pPr>
        <w:pStyle w:val="Prrafodelista"/>
        <w:widowControl/>
        <w:numPr>
          <w:ilvl w:val="0"/>
          <w:numId w:val="12"/>
        </w:numPr>
        <w:suppressAutoHyphens w:val="0"/>
        <w:ind w:left="567" w:hanging="567"/>
        <w:contextualSpacing/>
        <w:jc w:val="both"/>
        <w:rPr>
          <w:rFonts w:ascii="Tahoma" w:hAnsi="Tahoma" w:cs="Tahoma"/>
          <w:sz w:val="20"/>
        </w:rPr>
      </w:pPr>
      <w:r w:rsidRPr="00673A30">
        <w:rPr>
          <w:rFonts w:ascii="Tahoma" w:hAnsi="Tahoma" w:cs="Tahoma"/>
          <w:sz w:val="20"/>
        </w:rPr>
        <w:t>Ahora bien, cabe considerar también en referencia a las dos primeras ampliaciones de plazo otorgadas a la Contratista, teniendo en cuenta que según lo manifestado por ella, no se pudo cumplir con la entrega oportuna de los bienes debido a que su proveedor no se abastecía con la gran demanda que se presentó que, ella conocía la necesidad de urgencia que tenía la población de la zona de contar con los módulos de vivienda luego del sismo producido, por lo que la ejecución de la obligación era de suma importancia.</w:t>
      </w:r>
    </w:p>
    <w:p w:rsidR="00673A30" w:rsidRPr="00673A30" w:rsidRDefault="00673A30" w:rsidP="00673A30">
      <w:pPr>
        <w:pStyle w:val="Prrafodelista"/>
        <w:rPr>
          <w:rFonts w:ascii="Tahoma" w:hAnsi="Tahoma" w:cs="Tahoma"/>
          <w:sz w:val="20"/>
        </w:rPr>
      </w:pPr>
    </w:p>
    <w:p w:rsidR="00673A30" w:rsidRPr="00673A30" w:rsidRDefault="00673A30" w:rsidP="00673A30">
      <w:pPr>
        <w:pStyle w:val="Prrafodelista"/>
        <w:widowControl/>
        <w:numPr>
          <w:ilvl w:val="0"/>
          <w:numId w:val="12"/>
        </w:numPr>
        <w:suppressAutoHyphens w:val="0"/>
        <w:ind w:left="567" w:hanging="567"/>
        <w:contextualSpacing/>
        <w:jc w:val="both"/>
        <w:rPr>
          <w:rFonts w:ascii="Tahoma" w:hAnsi="Tahoma" w:cs="Tahoma"/>
          <w:sz w:val="20"/>
        </w:rPr>
      </w:pPr>
      <w:r w:rsidRPr="00673A30">
        <w:rPr>
          <w:rFonts w:ascii="Tahoma" w:hAnsi="Tahoma" w:cs="Tahoma"/>
          <w:sz w:val="20"/>
        </w:rPr>
        <w:t>En ese sentido, la Contratista debió actuar con la debida diligencia a fin de cumplir con su obligación y tomar las acciones pertinentes al conocer que su proveedor no se abastecería con la producción objeto de demanda, tal como se mencionó líneas arriba al tener la posibilidad de contar con otros proveedores en atención a la urgencia vigente en dicho momento.</w:t>
      </w:r>
    </w:p>
    <w:p w:rsidR="00673A30" w:rsidRPr="00673A30" w:rsidRDefault="00673A30" w:rsidP="00673A30">
      <w:pPr>
        <w:pStyle w:val="Prrafodelista"/>
        <w:rPr>
          <w:rFonts w:ascii="Tahoma" w:hAnsi="Tahoma" w:cs="Tahoma"/>
          <w:sz w:val="20"/>
        </w:rPr>
      </w:pPr>
    </w:p>
    <w:p w:rsidR="00673A30" w:rsidRPr="00673A30" w:rsidRDefault="00673A30" w:rsidP="00673A30">
      <w:pPr>
        <w:pStyle w:val="Prrafodelista"/>
        <w:widowControl/>
        <w:numPr>
          <w:ilvl w:val="0"/>
          <w:numId w:val="12"/>
        </w:numPr>
        <w:suppressAutoHyphens w:val="0"/>
        <w:ind w:left="567" w:hanging="567"/>
        <w:contextualSpacing/>
        <w:jc w:val="both"/>
        <w:rPr>
          <w:rFonts w:ascii="Tahoma" w:hAnsi="Tahoma" w:cs="Tahoma"/>
          <w:sz w:val="20"/>
        </w:rPr>
      </w:pPr>
      <w:r w:rsidRPr="00673A30">
        <w:rPr>
          <w:rFonts w:ascii="Tahoma" w:hAnsi="Tahoma" w:cs="Tahoma"/>
          <w:sz w:val="20"/>
        </w:rPr>
        <w:t>De otro lado, cabe destacar que no existe de parte de la Contratista ningún otro supuesto que justifique el incumplimiento de su obligación mas allá de los ya señalados, mas aun teniendo en cuenta que no se aprecia mayor fundamente en su escrito de descargos.</w:t>
      </w:r>
    </w:p>
    <w:p w:rsidR="00673A30" w:rsidRPr="00673A30" w:rsidRDefault="00673A30" w:rsidP="00673A30">
      <w:pPr>
        <w:pStyle w:val="Prrafodelista"/>
        <w:rPr>
          <w:rFonts w:ascii="Tahoma" w:hAnsi="Tahoma" w:cs="Tahoma"/>
          <w:sz w:val="20"/>
        </w:rPr>
      </w:pPr>
    </w:p>
    <w:p w:rsidR="00673A30" w:rsidRPr="00673A30" w:rsidRDefault="00673A30" w:rsidP="00673A30">
      <w:pPr>
        <w:pStyle w:val="Prrafodelista"/>
        <w:widowControl/>
        <w:numPr>
          <w:ilvl w:val="0"/>
          <w:numId w:val="12"/>
        </w:numPr>
        <w:suppressAutoHyphens w:val="0"/>
        <w:ind w:left="567" w:hanging="567"/>
        <w:contextualSpacing/>
        <w:jc w:val="both"/>
        <w:rPr>
          <w:rFonts w:ascii="Tahoma" w:hAnsi="Tahoma" w:cs="Tahoma"/>
          <w:sz w:val="20"/>
        </w:rPr>
      </w:pPr>
      <w:r w:rsidRPr="00673A30">
        <w:rPr>
          <w:rFonts w:ascii="Tahoma" w:hAnsi="Tahoma" w:cs="Tahoma"/>
          <w:sz w:val="20"/>
        </w:rPr>
        <w:t>Por lo expuesto, este Colegiado considera que en el presente caso se ha configurado la infracción tipificada en el</w:t>
      </w:r>
      <w:r w:rsidRPr="00673A30">
        <w:rPr>
          <w:rFonts w:ascii="Tahoma" w:hAnsi="Tahoma" w:cs="Tahoma"/>
          <w:sz w:val="20"/>
          <w:lang w:val="es-PE"/>
        </w:rPr>
        <w:t xml:space="preserve"> numeral 2) </w:t>
      </w:r>
      <w:r w:rsidRPr="00673A30">
        <w:rPr>
          <w:rFonts w:ascii="Tahoma" w:hAnsi="Tahoma" w:cs="Tahoma"/>
          <w:sz w:val="20"/>
        </w:rPr>
        <w:t>del artículo 294 del Reglamento, y consecuentemente, existe mérito suficiente para imponer la correspondiente sanción administrativa.</w:t>
      </w:r>
    </w:p>
    <w:p w:rsidR="00673A30" w:rsidRPr="00673A30" w:rsidRDefault="00673A30" w:rsidP="00673A30">
      <w:pPr>
        <w:pStyle w:val="Prrafodelista"/>
        <w:rPr>
          <w:rFonts w:ascii="Tahoma" w:hAnsi="Tahoma" w:cs="Tahoma"/>
          <w:sz w:val="20"/>
        </w:rPr>
      </w:pPr>
    </w:p>
    <w:p w:rsidR="00673A30" w:rsidRPr="00673A30" w:rsidRDefault="00673A30" w:rsidP="00673A30">
      <w:pPr>
        <w:pStyle w:val="Prrafodelista"/>
        <w:widowControl/>
        <w:numPr>
          <w:ilvl w:val="0"/>
          <w:numId w:val="12"/>
        </w:numPr>
        <w:suppressAutoHyphens w:val="0"/>
        <w:ind w:left="567" w:hanging="567"/>
        <w:contextualSpacing/>
        <w:jc w:val="both"/>
        <w:rPr>
          <w:rFonts w:ascii="Tahoma" w:hAnsi="Tahoma" w:cs="Tahoma"/>
          <w:sz w:val="20"/>
        </w:rPr>
      </w:pPr>
      <w:r w:rsidRPr="00673A30">
        <w:rPr>
          <w:rFonts w:ascii="Tahoma" w:hAnsi="Tahoma" w:cs="Tahoma"/>
          <w:sz w:val="20"/>
        </w:rPr>
        <w:t>En tal sentido, en el presente caso la sanción se aplicará de conformidad a lo señalado en el referido artículo</w:t>
      </w:r>
      <w:r w:rsidRPr="00673A30">
        <w:rPr>
          <w:rFonts w:ascii="Tahoma" w:eastAsia="MS Mincho" w:hAnsi="Tahoma" w:cs="Tahoma"/>
          <w:sz w:val="20"/>
        </w:rPr>
        <w:t xml:space="preserve">, el mismo que </w:t>
      </w:r>
      <w:r w:rsidRPr="00673A30">
        <w:rPr>
          <w:rFonts w:ascii="Tahoma" w:hAnsi="Tahoma" w:cs="Tahoma"/>
          <w:sz w:val="20"/>
        </w:rPr>
        <w:t xml:space="preserve">establece que los proveedores, participantes, postores o contratistas que incurran en las causales establecidas en los incisos 1), 2), 4), 5) y 6) precedentes, serán sancionados con inhabilitación temporal para contratar con el Estado por un periodo no menor a un (1) año ni mayor de dos (2) años. </w:t>
      </w:r>
    </w:p>
    <w:p w:rsidR="00673A30" w:rsidRPr="00673A30" w:rsidRDefault="00673A30" w:rsidP="00673A30">
      <w:pPr>
        <w:pStyle w:val="Prrafodelista"/>
        <w:rPr>
          <w:rFonts w:ascii="Tahoma" w:hAnsi="Tahoma" w:cs="Tahoma"/>
          <w:sz w:val="20"/>
        </w:rPr>
      </w:pPr>
    </w:p>
    <w:p w:rsidR="00673A30" w:rsidRPr="00673A30" w:rsidRDefault="00673A30" w:rsidP="00673A30">
      <w:pPr>
        <w:pStyle w:val="Prrafodelista"/>
        <w:widowControl/>
        <w:numPr>
          <w:ilvl w:val="0"/>
          <w:numId w:val="12"/>
        </w:numPr>
        <w:suppressAutoHyphens w:val="0"/>
        <w:ind w:left="567" w:hanging="567"/>
        <w:contextualSpacing/>
        <w:jc w:val="both"/>
        <w:rPr>
          <w:rFonts w:ascii="Tahoma" w:hAnsi="Tahoma" w:cs="Tahoma"/>
          <w:sz w:val="20"/>
        </w:rPr>
      </w:pPr>
      <w:r w:rsidRPr="00673A30">
        <w:rPr>
          <w:rFonts w:ascii="Tahoma" w:hAnsi="Tahoma" w:cs="Tahoma"/>
          <w:sz w:val="20"/>
        </w:rPr>
        <w:t xml:space="preserve">Asimismo, la sanción que se impondrá deberá ser graduada dentro de los límites dispuestos en dicho artículo, para lo cual deberá tenerse en cuenta lo dispuesto por el artículo 302 del Reglamento, el mismo que establece que se considerará los siguientes criterios: 1) Naturaleza de la infracción; 2) Intencionalidad del infractor; 3) Daño causado; 4) Reiterancia; 5) El reconocimiento de la infracción cometida antes de que sea </w:t>
      </w:r>
      <w:r w:rsidRPr="00673A30">
        <w:rPr>
          <w:rFonts w:ascii="Tahoma" w:hAnsi="Tahoma" w:cs="Tahoma"/>
          <w:sz w:val="20"/>
        </w:rPr>
        <w:lastRenderedPageBreak/>
        <w:t>detectada; 6) Circunstancias de tiempo, lugar y modo; 7) Condiciones del infractor; 8) Conducta procesal del infractor.</w:t>
      </w:r>
    </w:p>
    <w:p w:rsidR="00673A30" w:rsidRPr="00673A30" w:rsidRDefault="00673A30" w:rsidP="00673A30">
      <w:pPr>
        <w:pStyle w:val="Prrafodelista"/>
        <w:rPr>
          <w:rFonts w:ascii="Tahoma" w:hAnsi="Tahoma" w:cs="Tahoma"/>
          <w:sz w:val="20"/>
        </w:rPr>
      </w:pPr>
    </w:p>
    <w:p w:rsidR="00673A30" w:rsidRPr="00673A30" w:rsidRDefault="00673A30" w:rsidP="00673A30">
      <w:pPr>
        <w:pStyle w:val="Prrafodelista"/>
        <w:widowControl/>
        <w:numPr>
          <w:ilvl w:val="0"/>
          <w:numId w:val="12"/>
        </w:numPr>
        <w:suppressAutoHyphens w:val="0"/>
        <w:ind w:left="567" w:hanging="567"/>
        <w:contextualSpacing/>
        <w:jc w:val="both"/>
        <w:rPr>
          <w:rFonts w:ascii="Tahoma" w:hAnsi="Tahoma" w:cs="Tahoma"/>
          <w:sz w:val="20"/>
        </w:rPr>
      </w:pPr>
      <w:r w:rsidRPr="00673A30">
        <w:rPr>
          <w:rFonts w:ascii="Tahoma" w:hAnsi="Tahoma" w:cs="Tahoma"/>
          <w:sz w:val="20"/>
        </w:rPr>
        <w:t xml:space="preserve">En ese sentido, también resulta importante traer a colación el </w:t>
      </w:r>
      <w:r w:rsidRPr="00673A30">
        <w:rPr>
          <w:rFonts w:ascii="Tahoma" w:hAnsi="Tahoma" w:cs="Tahoma"/>
          <w:i/>
          <w:sz w:val="20"/>
        </w:rPr>
        <w:t>Principio de Razonabilidad</w:t>
      </w:r>
      <w:r w:rsidRPr="00673A30">
        <w:rPr>
          <w:rFonts w:ascii="Tahoma" w:hAnsi="Tahoma" w:cs="Tahoma"/>
          <w:sz w:val="20"/>
        </w:rPr>
        <w:t xml:space="preserve"> consagrado en el numeral 3 del artículo 230 de la Ley del Procedimiento Administrativo General, </w:t>
      </w:r>
      <w:r w:rsidRPr="00673A30">
        <w:rPr>
          <w:rFonts w:ascii="Tahoma" w:eastAsia="Calibri" w:hAnsi="Tahoma" w:cs="Tahoma"/>
          <w:sz w:val="20"/>
          <w:lang w:eastAsia="en-US"/>
        </w:rPr>
        <w:t>modificado por Decreto Legislativo Nº 1029 del 24 de junio de 2008, por medio del cual las autoridades deben prever que la comisión de la conducta sancionable no resulte más ventajosa para el infractor que cumplir las normas infringidas o asumir la sanción. Sin embargo, las sanciones a ser aplicadas deberán ser proporcionales al incumplimiento calificado como infracción, debiendo observar los siguientes criterios que en orden de prelación se señalan a efectos de su graduación: a) la gravedad del daño al interés público y/o bien jurídico protegido; b) el perjuicio económico causado; c) la repetición y/o continuidad en la comisión de la infracción; d) las circunstancias de la comisión de la infracción; e) el beneficio ilegalmente obtenido; y f) la existencia o no de intencionalidad en la conducta del infractor.</w:t>
      </w:r>
    </w:p>
    <w:p w:rsidR="00673A30" w:rsidRPr="00673A30" w:rsidRDefault="00673A30" w:rsidP="00673A30">
      <w:pPr>
        <w:pStyle w:val="Prrafodelista"/>
        <w:rPr>
          <w:rFonts w:ascii="Tahoma" w:hAnsi="Tahoma" w:cs="Tahoma"/>
          <w:sz w:val="20"/>
        </w:rPr>
      </w:pPr>
    </w:p>
    <w:p w:rsidR="00673A30" w:rsidRPr="00673A30" w:rsidRDefault="00673A30" w:rsidP="00673A30">
      <w:pPr>
        <w:pStyle w:val="Prrafodelista"/>
        <w:widowControl/>
        <w:numPr>
          <w:ilvl w:val="0"/>
          <w:numId w:val="12"/>
        </w:numPr>
        <w:suppressAutoHyphens w:val="0"/>
        <w:ind w:left="567" w:hanging="567"/>
        <w:contextualSpacing/>
        <w:jc w:val="both"/>
        <w:rPr>
          <w:rFonts w:ascii="Tahoma" w:hAnsi="Tahoma" w:cs="Tahoma"/>
          <w:sz w:val="20"/>
        </w:rPr>
      </w:pPr>
      <w:r w:rsidRPr="00673A30">
        <w:rPr>
          <w:rFonts w:ascii="Tahoma" w:hAnsi="Tahoma" w:cs="Tahoma"/>
          <w:sz w:val="20"/>
        </w:rPr>
        <w:t>Atendiendo a lo señalado anteriormente, en lo que concierne a la naturaleza de la infracción, es importante señalar que la conducta denunciada reviste una considerable gravedad en la medida que desde el momento que la Contratista asumió un compromiso contractual frente a la Entidad, se encontraba llamado a cumplir cabalmente lo ofrecido, máxime si es conocido que ante un eventual incumplimiento se verían seriamente afectados intereses de carácter público, mas aun en el presente caso, como es el de salvaguardar la integridad de la población afectada por el sismo producido, así como también se vio retrasado el cumplimiento de las metas institucionales de la Entidad.</w:t>
      </w:r>
    </w:p>
    <w:p w:rsidR="00673A30" w:rsidRPr="00673A30" w:rsidRDefault="00673A30" w:rsidP="00673A30">
      <w:pPr>
        <w:pStyle w:val="Prrafodelista"/>
        <w:rPr>
          <w:rFonts w:ascii="Tahoma" w:hAnsi="Tahoma" w:cs="Tahoma"/>
          <w:sz w:val="20"/>
        </w:rPr>
      </w:pPr>
    </w:p>
    <w:p w:rsidR="00673A30" w:rsidRPr="00673A30" w:rsidRDefault="00673A30" w:rsidP="00673A30">
      <w:pPr>
        <w:pStyle w:val="Prrafodelista"/>
        <w:widowControl/>
        <w:numPr>
          <w:ilvl w:val="0"/>
          <w:numId w:val="12"/>
        </w:numPr>
        <w:suppressAutoHyphens w:val="0"/>
        <w:ind w:left="567" w:hanging="567"/>
        <w:contextualSpacing/>
        <w:jc w:val="both"/>
        <w:rPr>
          <w:rFonts w:ascii="Tahoma" w:hAnsi="Tahoma" w:cs="Tahoma"/>
          <w:sz w:val="20"/>
        </w:rPr>
      </w:pPr>
      <w:r w:rsidRPr="00673A30">
        <w:rPr>
          <w:rFonts w:ascii="Tahoma" w:hAnsi="Tahoma" w:cs="Tahoma"/>
          <w:sz w:val="20"/>
        </w:rPr>
        <w:t>Respecto de la conducta procesal, conviene precisar que durante la sustanciación del presente procedimiento administrativo sancionador, la Contratista ha cumplido con presentar sus descargos, no obstante no ha reconocido la infracción incurrida.</w:t>
      </w:r>
    </w:p>
    <w:p w:rsidR="00673A30" w:rsidRPr="00673A30" w:rsidRDefault="00673A30" w:rsidP="00673A30">
      <w:pPr>
        <w:pStyle w:val="Prrafodelista"/>
        <w:rPr>
          <w:rFonts w:ascii="Tahoma" w:hAnsi="Tahoma" w:cs="Tahoma"/>
          <w:sz w:val="20"/>
        </w:rPr>
      </w:pPr>
    </w:p>
    <w:p w:rsidR="00673A30" w:rsidRPr="00673A30" w:rsidRDefault="00673A30" w:rsidP="00673A30">
      <w:pPr>
        <w:pStyle w:val="Prrafodelista"/>
        <w:widowControl/>
        <w:numPr>
          <w:ilvl w:val="0"/>
          <w:numId w:val="12"/>
        </w:numPr>
        <w:suppressAutoHyphens w:val="0"/>
        <w:ind w:left="567" w:hanging="567"/>
        <w:contextualSpacing/>
        <w:jc w:val="both"/>
        <w:rPr>
          <w:rFonts w:ascii="Tahoma" w:hAnsi="Tahoma" w:cs="Tahoma"/>
          <w:sz w:val="20"/>
        </w:rPr>
      </w:pPr>
      <w:r w:rsidRPr="00673A30">
        <w:rPr>
          <w:rFonts w:ascii="Tahoma" w:hAnsi="Tahoma" w:cs="Tahoma"/>
          <w:sz w:val="20"/>
        </w:rPr>
        <w:t>Asimismo, en lo que atañe al daño causado, es relevante tomar en cuenta, por un lado, que el Contrato tenía por objeto la entrega  de módulos de vivienda, los cuales no cumplió con entregar y generó un daño a los damnificados en la región de Chincha, Pisco, Ica y Cañete, a consecuencia del terremoto del año 2007.</w:t>
      </w:r>
    </w:p>
    <w:p w:rsidR="00673A30" w:rsidRPr="00673A30" w:rsidRDefault="00673A30" w:rsidP="00673A30">
      <w:pPr>
        <w:pStyle w:val="Prrafodelista"/>
        <w:rPr>
          <w:rFonts w:ascii="Tahoma" w:hAnsi="Tahoma" w:cs="Tahoma"/>
          <w:sz w:val="20"/>
        </w:rPr>
      </w:pPr>
    </w:p>
    <w:p w:rsidR="00673A30" w:rsidRPr="00673A30" w:rsidRDefault="00673A30" w:rsidP="00673A30">
      <w:pPr>
        <w:pStyle w:val="Prrafodelista"/>
        <w:widowControl/>
        <w:numPr>
          <w:ilvl w:val="0"/>
          <w:numId w:val="12"/>
        </w:numPr>
        <w:suppressAutoHyphens w:val="0"/>
        <w:ind w:left="567" w:hanging="567"/>
        <w:contextualSpacing/>
        <w:jc w:val="both"/>
        <w:rPr>
          <w:rFonts w:ascii="Tahoma" w:hAnsi="Tahoma" w:cs="Tahoma"/>
          <w:sz w:val="20"/>
        </w:rPr>
      </w:pPr>
      <w:r w:rsidRPr="00673A30">
        <w:rPr>
          <w:rFonts w:ascii="Tahoma" w:hAnsi="Tahoma" w:cs="Tahoma"/>
          <w:sz w:val="20"/>
        </w:rPr>
        <w:t>Respecto a la reiterancia, cabe señalar que con Resolución Nº 1060-2010-TC-S1 de fecha 28 de mayo de 2010 se sancionó por dieciséis (16) meses a la Contratista por la configuración de la infracción prevista en el numeral 2) del artículo 294 del Reglamento.</w:t>
      </w:r>
    </w:p>
    <w:p w:rsidR="00673A30" w:rsidRPr="00673A30" w:rsidRDefault="00673A30" w:rsidP="00673A30">
      <w:pPr>
        <w:contextualSpacing/>
        <w:jc w:val="both"/>
        <w:rPr>
          <w:rFonts w:ascii="Tahoma" w:hAnsi="Tahoma" w:cs="Tahoma"/>
          <w:sz w:val="20"/>
          <w:szCs w:val="20"/>
        </w:rPr>
      </w:pPr>
    </w:p>
    <w:p w:rsidR="00673A30" w:rsidRPr="00673A30" w:rsidRDefault="00673A30" w:rsidP="00673A30">
      <w:pPr>
        <w:pStyle w:val="Prrafodelista"/>
        <w:widowControl/>
        <w:numPr>
          <w:ilvl w:val="0"/>
          <w:numId w:val="12"/>
        </w:numPr>
        <w:suppressAutoHyphens w:val="0"/>
        <w:ind w:left="567" w:hanging="567"/>
        <w:contextualSpacing/>
        <w:jc w:val="both"/>
        <w:rPr>
          <w:rFonts w:ascii="Tahoma" w:hAnsi="Tahoma" w:cs="Tahoma"/>
          <w:sz w:val="20"/>
        </w:rPr>
      </w:pPr>
      <w:r w:rsidRPr="00673A30">
        <w:rPr>
          <w:rFonts w:ascii="Tahoma" w:hAnsi="Tahoma" w:cs="Tahoma"/>
          <w:sz w:val="20"/>
        </w:rPr>
        <w:t>Por lo antes expuesto, corresponde imponerle a la Contratista</w:t>
      </w:r>
      <w:r w:rsidRPr="00673A30">
        <w:rPr>
          <w:rFonts w:ascii="Tahoma" w:eastAsia="MS Mincho" w:hAnsi="Tahoma" w:cs="Tahoma"/>
          <w:sz w:val="20"/>
        </w:rPr>
        <w:t xml:space="preserve"> la</w:t>
      </w:r>
      <w:r w:rsidRPr="00673A30">
        <w:rPr>
          <w:rFonts w:ascii="Tahoma" w:hAnsi="Tahoma" w:cs="Tahoma"/>
          <w:sz w:val="20"/>
        </w:rPr>
        <w:t xml:space="preserve"> sanción administrativa de inhabilitación temporal en sus derechos para participar en procesos de selección y contratar con el Estado, por el período de dieciocho (18) meses.</w:t>
      </w:r>
    </w:p>
    <w:p w:rsidR="00673A30" w:rsidRPr="00673A30" w:rsidRDefault="00673A30" w:rsidP="00673A30">
      <w:pPr>
        <w:contextualSpacing/>
        <w:jc w:val="both"/>
        <w:rPr>
          <w:rFonts w:ascii="Tahoma" w:hAnsi="Tahoma" w:cs="Tahoma"/>
          <w:sz w:val="20"/>
          <w:szCs w:val="20"/>
        </w:rPr>
      </w:pPr>
    </w:p>
    <w:p w:rsidR="008801FA" w:rsidRPr="00673A30" w:rsidRDefault="008801FA" w:rsidP="00673A30">
      <w:pPr>
        <w:tabs>
          <w:tab w:val="left" w:pos="567"/>
        </w:tabs>
        <w:autoSpaceDE w:val="0"/>
        <w:autoSpaceDN w:val="0"/>
        <w:adjustRightInd w:val="0"/>
        <w:ind w:left="567" w:hanging="1440"/>
        <w:jc w:val="both"/>
        <w:rPr>
          <w:rFonts w:ascii="Tahoma" w:eastAsiaTheme="minorHAnsi" w:hAnsi="Tahoma" w:cs="Tahoma"/>
          <w:color w:val="000000"/>
          <w:sz w:val="20"/>
          <w:szCs w:val="20"/>
          <w:lang w:eastAsia="en-US"/>
        </w:rPr>
      </w:pPr>
      <w:r w:rsidRPr="00673A30">
        <w:rPr>
          <w:rFonts w:ascii="Tahoma" w:eastAsiaTheme="minorHAnsi" w:hAnsi="Tahoma" w:cs="Tahoma"/>
          <w:color w:val="000000"/>
          <w:sz w:val="20"/>
          <w:szCs w:val="20"/>
          <w:lang w:eastAsia="en-US"/>
        </w:rPr>
        <w:tab/>
        <w:t xml:space="preserve">Por estos fundamentos, de conformidad con el informe del Vocal Ponente Dra. Ada Basulto Liewald y la intervención de los Vocales Dr. Carlos Vicente Navas Rondón y Dra. Janette Elke Ramírez Maynetto,  atendiendo a la reconformación de la Primera Sala del Tribunal de Contrataciones del Estado, según lo dispuesto en la Resolución № 103-2011-OSCE/PRE, expedida el 15 de febrero de 2011; y, en ejercicio de las facultades conferidas en los artículos 51 y 63 de la Ley de Contrataciones del Estado, aprobada por Decreto Legislativo № 1017, su Reglamento, aprobado por Decreto Supremo № 184-2008-EF, y los artículos 17 y 18 del Reglamento de Organización y Funciones del OSCE, aprobado </w:t>
      </w:r>
      <w:r w:rsidRPr="00673A30">
        <w:rPr>
          <w:rFonts w:ascii="Tahoma" w:eastAsiaTheme="minorHAnsi" w:hAnsi="Tahoma" w:cs="Tahoma"/>
          <w:color w:val="000000"/>
          <w:sz w:val="20"/>
          <w:szCs w:val="20"/>
          <w:lang w:eastAsia="en-US"/>
        </w:rPr>
        <w:lastRenderedPageBreak/>
        <w:t>por Decreto Supremo № 006-2009-EF, analizados los antecedentes y luego de agotado el debate correspondiente, por unanimidad</w:t>
      </w:r>
    </w:p>
    <w:p w:rsidR="008801FA" w:rsidRPr="00673A30" w:rsidRDefault="008801FA" w:rsidP="008801FA">
      <w:pPr>
        <w:ind w:firstLine="426"/>
        <w:jc w:val="both"/>
        <w:rPr>
          <w:rFonts w:ascii="Tahoma" w:hAnsi="Tahoma" w:cs="Tahoma"/>
          <w:sz w:val="20"/>
          <w:szCs w:val="20"/>
        </w:rPr>
      </w:pPr>
    </w:p>
    <w:p w:rsidR="008801FA" w:rsidRPr="00673A30" w:rsidRDefault="008801FA" w:rsidP="008801FA">
      <w:pPr>
        <w:ind w:firstLine="567"/>
        <w:jc w:val="both"/>
        <w:rPr>
          <w:rFonts w:ascii="Tahoma" w:hAnsi="Tahoma" w:cs="Tahoma"/>
          <w:b/>
          <w:sz w:val="20"/>
          <w:szCs w:val="20"/>
        </w:rPr>
      </w:pPr>
      <w:r w:rsidRPr="00673A30">
        <w:rPr>
          <w:rFonts w:ascii="Tahoma" w:hAnsi="Tahoma" w:cs="Tahoma"/>
          <w:b/>
          <w:sz w:val="20"/>
          <w:szCs w:val="20"/>
        </w:rPr>
        <w:t xml:space="preserve">LA SALA RESUELVE: </w:t>
      </w:r>
    </w:p>
    <w:p w:rsidR="008801FA" w:rsidRPr="00673A30" w:rsidRDefault="008801FA" w:rsidP="008801FA">
      <w:pPr>
        <w:jc w:val="both"/>
        <w:rPr>
          <w:rFonts w:ascii="Tahoma" w:hAnsi="Tahoma" w:cs="Tahoma"/>
          <w:snapToGrid w:val="0"/>
          <w:sz w:val="20"/>
          <w:szCs w:val="20"/>
        </w:rPr>
      </w:pPr>
    </w:p>
    <w:p w:rsidR="00673A30" w:rsidRPr="00673A30" w:rsidRDefault="00673A30" w:rsidP="00673A30">
      <w:pPr>
        <w:numPr>
          <w:ilvl w:val="0"/>
          <w:numId w:val="14"/>
        </w:numPr>
        <w:tabs>
          <w:tab w:val="num" w:pos="567"/>
        </w:tabs>
        <w:ind w:left="567" w:hanging="567"/>
        <w:jc w:val="both"/>
        <w:rPr>
          <w:rFonts w:ascii="Tahoma" w:hAnsi="Tahoma" w:cs="Tahoma"/>
          <w:sz w:val="20"/>
          <w:szCs w:val="20"/>
        </w:rPr>
      </w:pPr>
      <w:r w:rsidRPr="00673A30">
        <w:rPr>
          <w:rFonts w:ascii="Tahoma" w:hAnsi="Tahoma" w:cs="Tahoma"/>
          <w:sz w:val="20"/>
          <w:szCs w:val="20"/>
        </w:rPr>
        <w:t xml:space="preserve">Imponer a la empresa ASUNCION CONTRATISTAS GENERALES S.A.C., la sanción administrativa de inhabilitación temporal por el periodo de dieciocho (18) meses en sus derechos de participar en procesos de selección y contratar con el Estado, por la comisión de la infracción tipificada en el numeral 2) del artículo 294 del Reglamento, la cual entrará en vigencia a partir del sexto día hábil siguiente de notificada la presente Resolución. </w:t>
      </w:r>
    </w:p>
    <w:p w:rsidR="00673A30" w:rsidRPr="00673A30" w:rsidRDefault="00673A30" w:rsidP="00673A30">
      <w:pPr>
        <w:ind w:left="567"/>
        <w:jc w:val="both"/>
        <w:rPr>
          <w:rFonts w:ascii="Tahoma" w:hAnsi="Tahoma" w:cs="Tahoma"/>
          <w:sz w:val="20"/>
          <w:szCs w:val="20"/>
        </w:rPr>
      </w:pPr>
    </w:p>
    <w:p w:rsidR="00673A30" w:rsidRPr="00673A30" w:rsidRDefault="00673A30" w:rsidP="00673A30">
      <w:pPr>
        <w:numPr>
          <w:ilvl w:val="0"/>
          <w:numId w:val="14"/>
        </w:numPr>
        <w:tabs>
          <w:tab w:val="num" w:pos="567"/>
        </w:tabs>
        <w:ind w:left="567" w:hanging="567"/>
        <w:jc w:val="both"/>
        <w:rPr>
          <w:rFonts w:ascii="Tahoma" w:hAnsi="Tahoma" w:cs="Tahoma"/>
          <w:sz w:val="20"/>
          <w:szCs w:val="20"/>
        </w:rPr>
      </w:pPr>
      <w:r w:rsidRPr="00673A30">
        <w:rPr>
          <w:rFonts w:ascii="Tahoma" w:hAnsi="Tahoma" w:cs="Tahoma"/>
          <w:sz w:val="20"/>
          <w:szCs w:val="20"/>
        </w:rPr>
        <w:t>Poner la presente Resolución en conocimiento de la Subdirección del Registro Nacional de Proveedores del Organismo Supervisor de las Contrataciones del Estado (OSCE), para las anotaciones de Ley.</w:t>
      </w:r>
    </w:p>
    <w:p w:rsidR="00673A30" w:rsidRPr="00673A30" w:rsidRDefault="00673A30" w:rsidP="00673A30">
      <w:pPr>
        <w:ind w:left="567"/>
        <w:jc w:val="both"/>
        <w:rPr>
          <w:rFonts w:ascii="Tahoma" w:hAnsi="Tahoma" w:cs="Tahoma"/>
          <w:sz w:val="20"/>
          <w:szCs w:val="20"/>
        </w:rPr>
      </w:pPr>
    </w:p>
    <w:p w:rsidR="008801FA" w:rsidRPr="00673A30" w:rsidRDefault="008801FA" w:rsidP="008801FA">
      <w:pPr>
        <w:tabs>
          <w:tab w:val="left" w:pos="180"/>
          <w:tab w:val="left" w:pos="540"/>
        </w:tabs>
        <w:jc w:val="both"/>
        <w:rPr>
          <w:rFonts w:ascii="Tahoma" w:hAnsi="Tahoma" w:cs="Tahoma"/>
          <w:sz w:val="20"/>
          <w:szCs w:val="20"/>
        </w:rPr>
      </w:pPr>
    </w:p>
    <w:p w:rsidR="008801FA" w:rsidRPr="00673A30" w:rsidRDefault="008801FA" w:rsidP="008801FA">
      <w:pPr>
        <w:pStyle w:val="Textoindependiente21"/>
        <w:ind w:firstLine="567"/>
        <w:rPr>
          <w:rFonts w:cs="Tahoma"/>
          <w:sz w:val="20"/>
        </w:rPr>
      </w:pPr>
      <w:r w:rsidRPr="00673A30">
        <w:rPr>
          <w:rFonts w:cs="Tahoma"/>
          <w:sz w:val="20"/>
        </w:rPr>
        <w:t>Regístrese, comuníquese y publíquese.</w:t>
      </w:r>
    </w:p>
    <w:p w:rsidR="008801FA" w:rsidRPr="00673A30" w:rsidRDefault="008801FA" w:rsidP="008801FA">
      <w:pPr>
        <w:jc w:val="center"/>
        <w:rPr>
          <w:rFonts w:ascii="Tahoma" w:hAnsi="Tahoma" w:cs="Tahoma"/>
          <w:b/>
          <w:sz w:val="20"/>
          <w:szCs w:val="20"/>
        </w:rPr>
      </w:pPr>
    </w:p>
    <w:p w:rsidR="008801FA" w:rsidRPr="00673A30" w:rsidRDefault="008801FA" w:rsidP="008801FA">
      <w:pPr>
        <w:jc w:val="center"/>
        <w:rPr>
          <w:rFonts w:ascii="Tahoma" w:hAnsi="Tahoma" w:cs="Tahoma"/>
          <w:b/>
          <w:sz w:val="20"/>
          <w:szCs w:val="20"/>
        </w:rPr>
      </w:pPr>
    </w:p>
    <w:p w:rsidR="008801FA" w:rsidRPr="00673A30" w:rsidRDefault="008801FA" w:rsidP="008801FA">
      <w:pPr>
        <w:jc w:val="center"/>
        <w:rPr>
          <w:rFonts w:ascii="Tahoma" w:hAnsi="Tahoma" w:cs="Tahoma"/>
          <w:b/>
          <w:sz w:val="20"/>
          <w:szCs w:val="20"/>
        </w:rPr>
      </w:pPr>
    </w:p>
    <w:p w:rsidR="008801FA" w:rsidRPr="00673A30" w:rsidRDefault="008801FA" w:rsidP="008801FA">
      <w:pPr>
        <w:jc w:val="center"/>
        <w:rPr>
          <w:rFonts w:ascii="Tahoma" w:hAnsi="Tahoma" w:cs="Tahoma"/>
          <w:b/>
          <w:sz w:val="20"/>
          <w:szCs w:val="20"/>
        </w:rPr>
      </w:pPr>
    </w:p>
    <w:p w:rsidR="008801FA" w:rsidRPr="00673A30" w:rsidRDefault="008801FA" w:rsidP="008801FA">
      <w:pPr>
        <w:jc w:val="center"/>
        <w:rPr>
          <w:rFonts w:ascii="Tahoma" w:hAnsi="Tahoma" w:cs="Tahoma"/>
          <w:b/>
          <w:sz w:val="20"/>
          <w:szCs w:val="20"/>
        </w:rPr>
      </w:pPr>
    </w:p>
    <w:p w:rsidR="008801FA" w:rsidRPr="00673A30" w:rsidRDefault="008801FA" w:rsidP="008801FA">
      <w:pPr>
        <w:jc w:val="center"/>
        <w:rPr>
          <w:rFonts w:ascii="Tahoma" w:hAnsi="Tahoma" w:cs="Tahoma"/>
          <w:b/>
          <w:sz w:val="20"/>
          <w:szCs w:val="20"/>
        </w:rPr>
      </w:pPr>
    </w:p>
    <w:p w:rsidR="008801FA" w:rsidRPr="00673A30" w:rsidRDefault="008801FA" w:rsidP="008801FA">
      <w:pPr>
        <w:jc w:val="center"/>
        <w:rPr>
          <w:rFonts w:ascii="Tahoma" w:hAnsi="Tahoma" w:cs="Tahoma"/>
          <w:b/>
          <w:sz w:val="20"/>
          <w:szCs w:val="20"/>
        </w:rPr>
      </w:pPr>
    </w:p>
    <w:p w:rsidR="008801FA" w:rsidRPr="00673A30" w:rsidRDefault="008801FA" w:rsidP="008801FA">
      <w:pPr>
        <w:rPr>
          <w:rFonts w:ascii="Tahoma" w:hAnsi="Tahoma" w:cs="Tahoma"/>
          <w:b/>
          <w:sz w:val="20"/>
          <w:szCs w:val="20"/>
        </w:rPr>
      </w:pPr>
    </w:p>
    <w:p w:rsidR="008801FA" w:rsidRPr="00673A30" w:rsidRDefault="008801FA" w:rsidP="008801FA">
      <w:pPr>
        <w:jc w:val="center"/>
        <w:rPr>
          <w:rFonts w:ascii="Tahoma" w:hAnsi="Tahoma" w:cs="Tahoma"/>
          <w:b/>
          <w:sz w:val="20"/>
          <w:szCs w:val="20"/>
        </w:rPr>
      </w:pPr>
    </w:p>
    <w:p w:rsidR="008801FA" w:rsidRPr="00673A30" w:rsidRDefault="008801FA" w:rsidP="008801FA">
      <w:pPr>
        <w:jc w:val="center"/>
        <w:rPr>
          <w:rFonts w:ascii="Tahoma" w:hAnsi="Tahoma" w:cs="Tahoma"/>
          <w:b/>
          <w:shadow/>
          <w:sz w:val="20"/>
          <w:szCs w:val="20"/>
          <w:lang w:val="pt-BR"/>
        </w:rPr>
      </w:pPr>
      <w:r w:rsidRPr="00673A30">
        <w:rPr>
          <w:rFonts w:ascii="Tahoma" w:hAnsi="Tahoma" w:cs="Tahoma"/>
          <w:b/>
          <w:shadow/>
          <w:sz w:val="20"/>
          <w:szCs w:val="20"/>
          <w:lang w:val="pt-BR"/>
        </w:rPr>
        <w:t>PRESIDENTE</w:t>
      </w:r>
    </w:p>
    <w:p w:rsidR="008801FA" w:rsidRPr="00673A30" w:rsidRDefault="008801FA" w:rsidP="008801FA">
      <w:pPr>
        <w:ind w:firstLine="708"/>
        <w:rPr>
          <w:rFonts w:ascii="Tahoma" w:hAnsi="Tahoma" w:cs="Tahoma"/>
          <w:b/>
          <w:shadow/>
          <w:sz w:val="20"/>
          <w:szCs w:val="20"/>
          <w:lang w:val="pt-BR"/>
        </w:rPr>
      </w:pPr>
    </w:p>
    <w:p w:rsidR="008801FA" w:rsidRPr="00673A30" w:rsidRDefault="008801FA" w:rsidP="008801FA">
      <w:pPr>
        <w:ind w:firstLine="708"/>
        <w:rPr>
          <w:rFonts w:ascii="Tahoma" w:hAnsi="Tahoma" w:cs="Tahoma"/>
          <w:b/>
          <w:shadow/>
          <w:sz w:val="20"/>
          <w:szCs w:val="20"/>
          <w:lang w:val="pt-BR"/>
        </w:rPr>
      </w:pPr>
      <w:r w:rsidRPr="00673A30">
        <w:rPr>
          <w:rFonts w:ascii="Tahoma" w:hAnsi="Tahoma" w:cs="Tahoma"/>
          <w:b/>
          <w:shadow/>
          <w:sz w:val="20"/>
          <w:szCs w:val="20"/>
          <w:lang w:val="pt-BR"/>
        </w:rPr>
        <w:t xml:space="preserve">VOCAL           </w:t>
      </w:r>
      <w:r w:rsidRPr="00673A30">
        <w:rPr>
          <w:rFonts w:ascii="Tahoma" w:hAnsi="Tahoma" w:cs="Tahoma"/>
          <w:b/>
          <w:shadow/>
          <w:sz w:val="20"/>
          <w:szCs w:val="20"/>
          <w:lang w:val="pt-BR"/>
        </w:rPr>
        <w:tab/>
      </w:r>
      <w:r w:rsidRPr="00673A30">
        <w:rPr>
          <w:rFonts w:ascii="Tahoma" w:hAnsi="Tahoma" w:cs="Tahoma"/>
          <w:b/>
          <w:shadow/>
          <w:sz w:val="20"/>
          <w:szCs w:val="20"/>
          <w:lang w:val="pt-BR"/>
        </w:rPr>
        <w:tab/>
        <w:t xml:space="preserve">                                                                 VOCAL</w:t>
      </w:r>
    </w:p>
    <w:p w:rsidR="008801FA" w:rsidRPr="00673A30" w:rsidRDefault="008801FA" w:rsidP="008801FA">
      <w:pPr>
        <w:rPr>
          <w:rFonts w:ascii="Tahoma" w:hAnsi="Tahoma" w:cs="Tahoma"/>
          <w:sz w:val="20"/>
          <w:szCs w:val="20"/>
          <w:lang w:val="pt-BR"/>
        </w:rPr>
      </w:pPr>
    </w:p>
    <w:p w:rsidR="008801FA" w:rsidRPr="00673A30" w:rsidRDefault="008801FA" w:rsidP="008801FA">
      <w:pPr>
        <w:rPr>
          <w:rFonts w:ascii="Tahoma" w:hAnsi="Tahoma" w:cs="Tahoma"/>
          <w:sz w:val="20"/>
          <w:szCs w:val="20"/>
          <w:lang w:val="pt-BR"/>
        </w:rPr>
      </w:pPr>
    </w:p>
    <w:p w:rsidR="008801FA" w:rsidRPr="00673A30" w:rsidRDefault="008801FA" w:rsidP="008801FA">
      <w:pPr>
        <w:jc w:val="both"/>
        <w:rPr>
          <w:rFonts w:ascii="Tahoma" w:hAnsi="Tahoma" w:cs="Tahoma"/>
          <w:sz w:val="20"/>
          <w:szCs w:val="20"/>
          <w:lang w:val="pt-BR"/>
        </w:rPr>
      </w:pPr>
      <w:r w:rsidRPr="00673A30">
        <w:rPr>
          <w:rFonts w:ascii="Tahoma" w:hAnsi="Tahoma" w:cs="Tahoma"/>
          <w:sz w:val="20"/>
          <w:szCs w:val="20"/>
          <w:lang w:val="pt-BR"/>
        </w:rPr>
        <w:t>ss.</w:t>
      </w:r>
    </w:p>
    <w:p w:rsidR="008801FA" w:rsidRPr="00673A30" w:rsidRDefault="008801FA" w:rsidP="008801FA">
      <w:pPr>
        <w:pStyle w:val="Textoindependiente21"/>
        <w:tabs>
          <w:tab w:val="left" w:pos="5250"/>
        </w:tabs>
        <w:rPr>
          <w:rFonts w:cs="Tahoma"/>
          <w:sz w:val="20"/>
          <w:lang w:val="pt-BR"/>
        </w:rPr>
      </w:pPr>
      <w:r w:rsidRPr="00673A30">
        <w:rPr>
          <w:rFonts w:cs="Tahoma"/>
          <w:sz w:val="20"/>
          <w:lang w:val="pt-BR"/>
        </w:rPr>
        <w:t>Navas Rondón.</w:t>
      </w:r>
    </w:p>
    <w:p w:rsidR="008801FA" w:rsidRPr="00673A30" w:rsidRDefault="008801FA" w:rsidP="008801FA">
      <w:pPr>
        <w:pStyle w:val="Textoindependiente21"/>
        <w:tabs>
          <w:tab w:val="left" w:pos="5250"/>
        </w:tabs>
        <w:rPr>
          <w:rFonts w:cs="Tahoma"/>
          <w:sz w:val="20"/>
          <w:lang w:val="pt-BR"/>
        </w:rPr>
      </w:pPr>
      <w:r w:rsidRPr="00673A30">
        <w:rPr>
          <w:rFonts w:cs="Tahoma"/>
          <w:sz w:val="20"/>
        </w:rPr>
        <w:t>Ramírez Maynetto.</w:t>
      </w:r>
    </w:p>
    <w:p w:rsidR="008801FA" w:rsidRPr="00673A30" w:rsidRDefault="008801FA" w:rsidP="008801FA">
      <w:pPr>
        <w:pStyle w:val="Textoindependiente21"/>
        <w:tabs>
          <w:tab w:val="left" w:pos="5250"/>
        </w:tabs>
        <w:rPr>
          <w:rFonts w:cs="Tahoma"/>
          <w:sz w:val="20"/>
          <w:lang w:val="pt-BR"/>
        </w:rPr>
      </w:pPr>
      <w:r w:rsidRPr="00673A30">
        <w:rPr>
          <w:rFonts w:cs="Tahoma"/>
          <w:sz w:val="20"/>
          <w:lang w:val="pt-BR"/>
        </w:rPr>
        <w:t>Basulto Liewald.</w:t>
      </w:r>
    </w:p>
    <w:p w:rsidR="001D5C36" w:rsidRPr="00673A30" w:rsidRDefault="0024722A">
      <w:pPr>
        <w:rPr>
          <w:rFonts w:ascii="Tahoma" w:hAnsi="Tahoma" w:cs="Tahoma"/>
          <w:sz w:val="20"/>
          <w:szCs w:val="20"/>
        </w:rPr>
      </w:pPr>
    </w:p>
    <w:sectPr w:rsidR="001D5C36" w:rsidRPr="00673A30" w:rsidSect="00B96798">
      <w:headerReference w:type="default" r:id="rId7"/>
      <w:footerReference w:type="default" r:id="rId8"/>
      <w:pgSz w:w="11906" w:h="16838"/>
      <w:pgMar w:top="3402" w:right="1701" w:bottom="1135"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722A" w:rsidRDefault="0024722A" w:rsidP="008801FA">
      <w:r>
        <w:separator/>
      </w:r>
    </w:p>
  </w:endnote>
  <w:endnote w:type="continuationSeparator" w:id="1">
    <w:p w:rsidR="0024722A" w:rsidRDefault="0024722A" w:rsidP="008801FA">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61002A87" w:usb1="80000000" w:usb2="00000008" w:usb3="00000000" w:csb0="0001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imes">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674763"/>
      <w:docPartObj>
        <w:docPartGallery w:val="Page Numbers (Bottom of Page)"/>
        <w:docPartUnique/>
      </w:docPartObj>
    </w:sdtPr>
    <w:sdtContent>
      <w:sdt>
        <w:sdtPr>
          <w:id w:val="216747541"/>
          <w:docPartObj>
            <w:docPartGallery w:val="Page Numbers (Top of Page)"/>
            <w:docPartUnique/>
          </w:docPartObj>
        </w:sdtPr>
        <w:sdtContent>
          <w:p w:rsidR="0035353E" w:rsidRDefault="009F14C6">
            <w:pPr>
              <w:pStyle w:val="Piedepgina"/>
              <w:jc w:val="center"/>
            </w:pPr>
            <w:r>
              <w:t xml:space="preserve">Página </w:t>
            </w:r>
            <w:r w:rsidR="00BF34EA">
              <w:rPr>
                <w:b/>
              </w:rPr>
              <w:fldChar w:fldCharType="begin"/>
            </w:r>
            <w:r>
              <w:rPr>
                <w:b/>
              </w:rPr>
              <w:instrText>PAGE</w:instrText>
            </w:r>
            <w:r w:rsidR="00BF34EA">
              <w:rPr>
                <w:b/>
              </w:rPr>
              <w:fldChar w:fldCharType="separate"/>
            </w:r>
            <w:r w:rsidR="00836AB8">
              <w:rPr>
                <w:b/>
                <w:noProof/>
              </w:rPr>
              <w:t>1</w:t>
            </w:r>
            <w:r w:rsidR="00BF34EA">
              <w:rPr>
                <w:b/>
              </w:rPr>
              <w:fldChar w:fldCharType="end"/>
            </w:r>
            <w:r>
              <w:t xml:space="preserve"> de </w:t>
            </w:r>
            <w:r w:rsidR="00BF34EA">
              <w:rPr>
                <w:b/>
              </w:rPr>
              <w:fldChar w:fldCharType="begin"/>
            </w:r>
            <w:r>
              <w:rPr>
                <w:b/>
              </w:rPr>
              <w:instrText>NUMPAGES</w:instrText>
            </w:r>
            <w:r w:rsidR="00BF34EA">
              <w:rPr>
                <w:b/>
              </w:rPr>
              <w:fldChar w:fldCharType="separate"/>
            </w:r>
            <w:r w:rsidR="00836AB8">
              <w:rPr>
                <w:b/>
                <w:noProof/>
              </w:rPr>
              <w:t>12</w:t>
            </w:r>
            <w:r w:rsidR="00BF34EA">
              <w:rPr>
                <w:b/>
              </w:rPr>
              <w:fldChar w:fldCharType="end"/>
            </w:r>
          </w:p>
        </w:sdtContent>
      </w:sdt>
    </w:sdtContent>
  </w:sdt>
  <w:p w:rsidR="0035353E" w:rsidRDefault="0024722A">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722A" w:rsidRDefault="0024722A" w:rsidP="008801FA">
      <w:r>
        <w:separator/>
      </w:r>
    </w:p>
  </w:footnote>
  <w:footnote w:type="continuationSeparator" w:id="1">
    <w:p w:rsidR="0024722A" w:rsidRDefault="0024722A" w:rsidP="008801FA">
      <w:r>
        <w:continuationSeparator/>
      </w:r>
    </w:p>
  </w:footnote>
  <w:footnote w:id="2">
    <w:p w:rsidR="00673A30" w:rsidRPr="00DA7A47" w:rsidRDefault="00673A30" w:rsidP="00673A30">
      <w:pPr>
        <w:pStyle w:val="Sinespaciado"/>
        <w:ind w:left="709"/>
        <w:jc w:val="both"/>
        <w:rPr>
          <w:rFonts w:ascii="Tahoma" w:hAnsi="Tahoma" w:cs="Tahoma"/>
          <w:b/>
          <w:i/>
          <w:sz w:val="18"/>
          <w:szCs w:val="18"/>
          <w:lang w:val="es-ES_tradnl"/>
        </w:rPr>
      </w:pPr>
      <w:r w:rsidRPr="0024276C">
        <w:rPr>
          <w:rStyle w:val="Refdenotaalpie"/>
          <w:rFonts w:ascii="Tahoma" w:hAnsi="Tahoma" w:cs="Tahoma"/>
          <w:sz w:val="18"/>
          <w:szCs w:val="18"/>
        </w:rPr>
        <w:footnoteRef/>
      </w:r>
      <w:r w:rsidRPr="0024276C">
        <w:rPr>
          <w:rFonts w:ascii="Tahoma" w:hAnsi="Tahoma" w:cs="Tahoma"/>
          <w:sz w:val="18"/>
          <w:szCs w:val="18"/>
        </w:rPr>
        <w:t xml:space="preserve"> </w:t>
      </w:r>
      <w:r w:rsidRPr="00DA7A47">
        <w:rPr>
          <w:rFonts w:ascii="Tahoma" w:hAnsi="Tahoma" w:cs="Tahoma"/>
          <w:b/>
          <w:i/>
          <w:sz w:val="18"/>
          <w:szCs w:val="18"/>
          <w:lang w:val="es-ES_tradnl"/>
        </w:rPr>
        <w:t xml:space="preserve">Artículo 294.- Causales de aplicación de sanción a los proveedores, participantes, postores y contratistas. </w:t>
      </w:r>
    </w:p>
    <w:p w:rsidR="00673A30" w:rsidRPr="00DA7A47" w:rsidRDefault="00673A30" w:rsidP="00673A30">
      <w:pPr>
        <w:pStyle w:val="Sinespaciado"/>
        <w:ind w:left="709"/>
        <w:jc w:val="both"/>
        <w:rPr>
          <w:rFonts w:ascii="Tahoma" w:hAnsi="Tahoma" w:cs="Tahoma"/>
          <w:i/>
          <w:sz w:val="18"/>
          <w:szCs w:val="18"/>
          <w:lang w:val="es-ES_tradnl"/>
        </w:rPr>
      </w:pPr>
      <w:r w:rsidRPr="00DA7A47">
        <w:rPr>
          <w:rFonts w:ascii="Tahoma" w:hAnsi="Tahoma" w:cs="Tahoma"/>
          <w:i/>
          <w:sz w:val="18"/>
          <w:szCs w:val="18"/>
          <w:lang w:val="es-ES_tradnl"/>
        </w:rPr>
        <w:t>El Tribunal impondrá la sanción administrativa de inhabilitación temporal o definitiva a los proveedores, participantes, postores y/o contratistas que:</w:t>
      </w:r>
    </w:p>
    <w:p w:rsidR="00673A30" w:rsidRPr="00DA7A47" w:rsidRDefault="00673A30" w:rsidP="00673A30">
      <w:pPr>
        <w:pStyle w:val="Sinespaciado"/>
        <w:ind w:left="709"/>
        <w:jc w:val="both"/>
        <w:rPr>
          <w:rFonts w:ascii="Tahoma" w:hAnsi="Tahoma" w:cs="Tahoma"/>
          <w:i/>
          <w:sz w:val="18"/>
          <w:szCs w:val="18"/>
          <w:lang w:val="es-ES_tradnl"/>
        </w:rPr>
      </w:pPr>
      <w:r w:rsidRPr="00DA7A47">
        <w:rPr>
          <w:rFonts w:ascii="Tahoma" w:hAnsi="Tahoma" w:cs="Tahoma"/>
          <w:i/>
          <w:sz w:val="18"/>
          <w:szCs w:val="18"/>
          <w:lang w:val="es-ES_tradnl"/>
        </w:rPr>
        <w:t>[…]</w:t>
      </w:r>
    </w:p>
    <w:p w:rsidR="00673A30" w:rsidRPr="00DA7A47" w:rsidRDefault="00673A30" w:rsidP="00673A30">
      <w:pPr>
        <w:pStyle w:val="Sinespaciado"/>
        <w:ind w:left="709"/>
        <w:jc w:val="both"/>
        <w:rPr>
          <w:rFonts w:ascii="Tahoma" w:hAnsi="Tahoma" w:cs="Tahoma"/>
          <w:i/>
          <w:sz w:val="18"/>
          <w:szCs w:val="18"/>
          <w:lang w:val="es-ES_tradnl"/>
        </w:rPr>
      </w:pPr>
      <w:r w:rsidRPr="00DA7A47">
        <w:rPr>
          <w:rFonts w:ascii="Tahoma" w:hAnsi="Tahoma" w:cs="Tahoma"/>
          <w:i/>
          <w:sz w:val="18"/>
          <w:szCs w:val="18"/>
          <w:lang w:val="es-ES_tradnl"/>
        </w:rPr>
        <w:t>2) Den lugar a la resolución del contrato, orden de compra o de servicios por causal atribuible a su parte.</w:t>
      </w:r>
    </w:p>
  </w:footnote>
  <w:footnote w:id="3">
    <w:p w:rsidR="00673A30" w:rsidRPr="00DA7A47" w:rsidRDefault="00673A30" w:rsidP="00673A30">
      <w:pPr>
        <w:pStyle w:val="Sinespaciado"/>
        <w:ind w:left="709"/>
        <w:jc w:val="both"/>
        <w:rPr>
          <w:rFonts w:ascii="Tahoma" w:hAnsi="Tahoma" w:cs="Tahoma"/>
          <w:b/>
          <w:i/>
          <w:sz w:val="18"/>
          <w:szCs w:val="18"/>
        </w:rPr>
      </w:pPr>
      <w:r w:rsidRPr="00DA7A47">
        <w:rPr>
          <w:rStyle w:val="Refdenotaalpie"/>
          <w:rFonts w:ascii="Tahoma" w:hAnsi="Tahoma" w:cs="Tahoma"/>
          <w:i/>
          <w:sz w:val="18"/>
          <w:szCs w:val="18"/>
        </w:rPr>
        <w:footnoteRef/>
      </w:r>
      <w:r w:rsidRPr="00DA7A47">
        <w:rPr>
          <w:rFonts w:ascii="Tahoma" w:hAnsi="Tahoma" w:cs="Tahoma"/>
          <w:i/>
          <w:sz w:val="18"/>
          <w:szCs w:val="18"/>
        </w:rPr>
        <w:t xml:space="preserve"> </w:t>
      </w:r>
      <w:r w:rsidRPr="00DA7A47">
        <w:rPr>
          <w:rFonts w:ascii="Tahoma" w:hAnsi="Tahoma" w:cs="Tahoma"/>
          <w:b/>
          <w:i/>
          <w:sz w:val="18"/>
          <w:szCs w:val="18"/>
        </w:rPr>
        <w:t>Artículo 225.- Causales de resolución.</w:t>
      </w:r>
    </w:p>
    <w:p w:rsidR="00673A30" w:rsidRPr="00DA7A47" w:rsidRDefault="00673A30" w:rsidP="00673A30">
      <w:pPr>
        <w:pStyle w:val="Sinespaciado"/>
        <w:ind w:left="709"/>
        <w:jc w:val="both"/>
        <w:rPr>
          <w:rFonts w:ascii="Tahoma" w:hAnsi="Tahoma" w:cs="Tahoma"/>
          <w:i/>
          <w:sz w:val="18"/>
          <w:szCs w:val="18"/>
        </w:rPr>
      </w:pPr>
      <w:r w:rsidRPr="00DA7A47">
        <w:rPr>
          <w:rFonts w:ascii="Tahoma" w:hAnsi="Tahoma" w:cs="Tahoma"/>
          <w:i/>
          <w:sz w:val="18"/>
          <w:szCs w:val="18"/>
        </w:rPr>
        <w:t>La Entidad podrá resolver el contrato, de conformidad con el inciso c) del Artículo 41 de la Ley, en los casos en que el contratista:</w:t>
      </w:r>
    </w:p>
    <w:p w:rsidR="00673A30" w:rsidRPr="00DA7A47" w:rsidRDefault="00673A30" w:rsidP="00673A30">
      <w:pPr>
        <w:pStyle w:val="Sinespaciado"/>
        <w:ind w:left="709"/>
        <w:jc w:val="both"/>
        <w:rPr>
          <w:rFonts w:ascii="Tahoma" w:hAnsi="Tahoma" w:cs="Tahoma"/>
          <w:i/>
          <w:sz w:val="18"/>
          <w:szCs w:val="18"/>
        </w:rPr>
      </w:pPr>
      <w:r w:rsidRPr="00DA7A47">
        <w:rPr>
          <w:rFonts w:ascii="Tahoma" w:hAnsi="Tahoma" w:cs="Tahoma"/>
          <w:i/>
          <w:sz w:val="18"/>
          <w:szCs w:val="18"/>
        </w:rPr>
        <w:t>1) Incumpla injustificadamente obligaciones contractuales, legales o reglamentarias a su cargo, pese a haber sido requerido para ello […].</w:t>
      </w:r>
    </w:p>
    <w:p w:rsidR="00673A30" w:rsidRPr="00DA7A47" w:rsidRDefault="00673A30" w:rsidP="00673A30">
      <w:pPr>
        <w:pStyle w:val="Sinespaciado"/>
        <w:ind w:left="709"/>
        <w:jc w:val="both"/>
        <w:rPr>
          <w:rFonts w:ascii="Tahoma" w:hAnsi="Tahoma" w:cs="Tahoma"/>
          <w:i/>
          <w:sz w:val="18"/>
          <w:szCs w:val="18"/>
        </w:rPr>
      </w:pPr>
    </w:p>
  </w:footnote>
  <w:footnote w:id="4">
    <w:p w:rsidR="00673A30" w:rsidRPr="00DA7A47" w:rsidRDefault="00673A30" w:rsidP="00673A30">
      <w:pPr>
        <w:pStyle w:val="Sinespaciado"/>
        <w:ind w:left="709"/>
        <w:jc w:val="both"/>
        <w:rPr>
          <w:rFonts w:ascii="Tahoma" w:hAnsi="Tahoma" w:cs="Tahoma"/>
          <w:b/>
          <w:i/>
          <w:sz w:val="18"/>
          <w:szCs w:val="18"/>
        </w:rPr>
      </w:pPr>
      <w:r w:rsidRPr="00DA7A47">
        <w:rPr>
          <w:rStyle w:val="Refdenotaalpie"/>
          <w:rFonts w:ascii="Tahoma" w:hAnsi="Tahoma" w:cs="Tahoma"/>
          <w:i/>
          <w:sz w:val="18"/>
          <w:szCs w:val="18"/>
        </w:rPr>
        <w:footnoteRef/>
      </w:r>
      <w:r w:rsidRPr="00DA7A47">
        <w:rPr>
          <w:rFonts w:ascii="Tahoma" w:hAnsi="Tahoma" w:cs="Tahoma"/>
          <w:i/>
          <w:sz w:val="18"/>
          <w:szCs w:val="18"/>
        </w:rPr>
        <w:t xml:space="preserve"> </w:t>
      </w:r>
      <w:r w:rsidRPr="00DA7A47">
        <w:rPr>
          <w:rFonts w:ascii="Tahoma" w:hAnsi="Tahoma" w:cs="Tahoma"/>
          <w:b/>
          <w:i/>
          <w:sz w:val="18"/>
          <w:szCs w:val="18"/>
        </w:rPr>
        <w:t>Artículo 226.- Procedimiento de resolución de contrato.</w:t>
      </w:r>
    </w:p>
    <w:p w:rsidR="00673A30" w:rsidRPr="00DA7A47" w:rsidRDefault="00673A30" w:rsidP="00673A30">
      <w:pPr>
        <w:pStyle w:val="Sinespaciado"/>
        <w:ind w:left="709"/>
        <w:jc w:val="both"/>
        <w:rPr>
          <w:rFonts w:ascii="Tahoma" w:hAnsi="Tahoma" w:cs="Tahoma"/>
          <w:i/>
          <w:sz w:val="18"/>
          <w:szCs w:val="18"/>
        </w:rPr>
      </w:pPr>
      <w:r w:rsidRPr="00DA7A47">
        <w:rPr>
          <w:rFonts w:ascii="Tahoma" w:hAnsi="Tahoma" w:cs="Tahoma"/>
          <w:i/>
          <w:sz w:val="18"/>
          <w:szCs w:val="18"/>
        </w:rPr>
        <w:t>“Si alguna de las partes falta al cumplimiento de sus obligaciones, la parte perjudicada deberá requerirla mediante carta notarial para que las satisfaga en un plazo no mayor a cinco (5) días, bajo apercibimiento de resolver el contrato.</w:t>
      </w:r>
    </w:p>
    <w:p w:rsidR="00673A30" w:rsidRPr="00DA7A47" w:rsidRDefault="00673A30" w:rsidP="00673A30">
      <w:pPr>
        <w:pStyle w:val="Sinespaciado"/>
        <w:ind w:left="709"/>
        <w:jc w:val="both"/>
        <w:rPr>
          <w:rFonts w:ascii="Tahoma" w:hAnsi="Tahoma" w:cs="Tahoma"/>
          <w:i/>
          <w:sz w:val="18"/>
          <w:szCs w:val="18"/>
        </w:rPr>
      </w:pPr>
      <w:r w:rsidRPr="00DA7A47">
        <w:rPr>
          <w:rFonts w:ascii="Tahoma" w:hAnsi="Tahoma" w:cs="Tahoma"/>
          <w:i/>
          <w:sz w:val="18"/>
          <w:szCs w:val="18"/>
        </w:rPr>
        <w:t>Dependiendo del monto contractual y de la complejidad, envergadura o sofisticación de la adquisición o contratación, la Entidad puede establecer plazos mayores, pero en ningún caso mayor a quince (15) días, plazo este último que se otorgará necesariamente en el caso de obras. Si vencido dicho plazo el incumplimiento continúa, la parte perjudicada resolverá el contrato en forma total o parcial, mediante carta notarial.</w:t>
      </w:r>
    </w:p>
    <w:p w:rsidR="00673A30" w:rsidRPr="00DA7A47" w:rsidRDefault="00673A30" w:rsidP="00673A30">
      <w:pPr>
        <w:pStyle w:val="Sinespaciado"/>
        <w:ind w:left="709"/>
        <w:jc w:val="both"/>
        <w:rPr>
          <w:rFonts w:ascii="Tahoma" w:hAnsi="Tahoma" w:cs="Tahoma"/>
          <w:i/>
          <w:sz w:val="18"/>
          <w:szCs w:val="18"/>
        </w:rPr>
      </w:pPr>
      <w:r w:rsidRPr="00DA7A47">
        <w:rPr>
          <w:rFonts w:ascii="Tahoma" w:hAnsi="Tahoma" w:cs="Tahoma"/>
          <w:i/>
          <w:sz w:val="18"/>
          <w:szCs w:val="18"/>
        </w:rPr>
        <w:t>(…)”.</w:t>
      </w:r>
    </w:p>
  </w:footnote>
  <w:footnote w:id="5">
    <w:p w:rsidR="00673A30" w:rsidRPr="00134F1F" w:rsidRDefault="00673A30" w:rsidP="00673A30">
      <w:pPr>
        <w:pStyle w:val="Textonotapie"/>
        <w:jc w:val="both"/>
      </w:pPr>
      <w:r w:rsidRPr="00134F1F">
        <w:rPr>
          <w:rStyle w:val="Refdenotaalpie"/>
        </w:rPr>
        <w:footnoteRef/>
      </w:r>
      <w:r w:rsidRPr="00134F1F">
        <w:t xml:space="preserve"> La anotada presunción legal se sustenta en el </w:t>
      </w:r>
      <w:r w:rsidRPr="00134F1F">
        <w:rPr>
          <w:lang w:val="es-PE"/>
        </w:rPr>
        <w:t>artículo 1329</w:t>
      </w:r>
      <w:r>
        <w:rPr>
          <w:lang w:val="es-PE"/>
        </w:rPr>
        <w:t>º</w:t>
      </w:r>
      <w:r w:rsidRPr="00134F1F">
        <w:rPr>
          <w:lang w:val="es-PE"/>
        </w:rPr>
        <w:t xml:space="preserve"> del Código Civil, el cual establece que “se presume que la inejecución de la obligación, o su cumplimiento parcial, tardío o defectuoso, obedece a culpa leve del deudor”, artículo aplicable al presente caso de conformidad con el </w:t>
      </w:r>
      <w:r w:rsidRPr="00134F1F">
        <w:t>artículo IX, del Título Preliminar del mismo cuerpo normativo: “Las disposiciones del Código Civil se aplican supletoriamente a las relaciones y situaciones jurídicas reguladas por otras leyes, siempre que no sean incompatibles con su naturaleza”.</w:t>
      </w:r>
    </w:p>
  </w:footnote>
  <w:footnote w:id="6">
    <w:p w:rsidR="00673A30" w:rsidRDefault="00673A30" w:rsidP="00673A30">
      <w:pPr>
        <w:pStyle w:val="Textonotapie"/>
        <w:rPr>
          <w:lang w:val="es-PE"/>
        </w:rPr>
      </w:pPr>
      <w:r>
        <w:rPr>
          <w:rStyle w:val="Refdenotaalpie"/>
          <w:rFonts w:ascii="Tahoma" w:hAnsi="Tahoma" w:cs="Tahoma"/>
          <w:i/>
          <w:sz w:val="18"/>
          <w:szCs w:val="18"/>
        </w:rPr>
        <w:footnoteRef/>
      </w:r>
      <w:r>
        <w:rPr>
          <w:rFonts w:ascii="Tahoma" w:hAnsi="Tahoma" w:cs="Tahoma"/>
          <w:i/>
          <w:sz w:val="18"/>
          <w:szCs w:val="18"/>
        </w:rPr>
        <w:t xml:space="preserve"> CABANELLAS, Guillermo. </w:t>
      </w:r>
      <w:r>
        <w:rPr>
          <w:rFonts w:ascii="Tahoma" w:hAnsi="Tahoma" w:cs="Tahoma"/>
          <w:b/>
          <w:i/>
          <w:sz w:val="18"/>
          <w:szCs w:val="18"/>
        </w:rPr>
        <w:t>Diccionario Enciclopédico de Derecho Usual</w:t>
      </w:r>
      <w:r>
        <w:rPr>
          <w:rFonts w:ascii="Tahoma" w:hAnsi="Tahoma" w:cs="Tahoma"/>
          <w:i/>
          <w:sz w:val="18"/>
          <w:szCs w:val="18"/>
        </w:rPr>
        <w:t>. 20ª Edición. Buenos Aires: Heliasta, 1986. Tomo II pág. 99 y Tomo IV pág 130.</w:t>
      </w:r>
    </w:p>
  </w:footnote>
  <w:footnote w:id="7">
    <w:p w:rsidR="00673A30" w:rsidRDefault="00673A30" w:rsidP="00673A30">
      <w:pPr>
        <w:pStyle w:val="Textonotapie"/>
        <w:rPr>
          <w:i/>
          <w:sz w:val="18"/>
          <w:szCs w:val="18"/>
        </w:rPr>
      </w:pPr>
      <w:r>
        <w:rPr>
          <w:rStyle w:val="Refdenotaalpie"/>
          <w:i/>
          <w:sz w:val="18"/>
          <w:szCs w:val="18"/>
        </w:rPr>
        <w:footnoteRef/>
      </w:r>
      <w:r>
        <w:rPr>
          <w:i/>
          <w:sz w:val="18"/>
          <w:szCs w:val="18"/>
          <w:lang w:val="es-PE"/>
        </w:rPr>
        <w:t xml:space="preserve"> Respecto a ello, </w:t>
      </w:r>
      <w:r>
        <w:rPr>
          <w:i/>
          <w:sz w:val="18"/>
          <w:szCs w:val="18"/>
        </w:rPr>
        <w:t xml:space="preserve">Ospina Fernández indica que la misma expresión “caso fortuito” denota idiomáticamente un acontecimiento extraño, súbito e inesperado. Por tanto, si el hecho ya existía al tiempo del contrato y era conocido o cognoscible por un deudor diligente, o si este razonablemente hubiera podido preverlo en el futuro, por ser acontecimiento normal o, a lo menos, de frecuente acaecer, la ocurrencia de ese hecho no constituye caso fortuito ni libera la responsabilidad, bien sea porque el deudor, habiendo podido preverlo, ha incurrido en culpa al no tratar de conjurarlo, o bien porque ha procedido temerariamente al obligarse en tales condiciones. </w:t>
      </w:r>
    </w:p>
    <w:p w:rsidR="00673A30" w:rsidRDefault="00673A30" w:rsidP="00673A30">
      <w:pPr>
        <w:pStyle w:val="Textonotapie"/>
        <w:rPr>
          <w:i/>
          <w:sz w:val="18"/>
          <w:szCs w:val="18"/>
        </w:rPr>
      </w:pPr>
    </w:p>
    <w:p w:rsidR="00673A30" w:rsidRDefault="00673A30" w:rsidP="00673A30">
      <w:pPr>
        <w:pStyle w:val="Textonotapie"/>
        <w:rPr>
          <w:i/>
          <w:sz w:val="18"/>
          <w:szCs w:val="18"/>
        </w:rPr>
      </w:pPr>
      <w:r>
        <w:rPr>
          <w:i/>
          <w:sz w:val="18"/>
          <w:szCs w:val="18"/>
        </w:rPr>
        <w:t xml:space="preserve">En tal sentido, siendo la imprevisibilidad elemento esencial del caso fortuito, el autor manifiesta que tal elemento ha de apreciarse singularmente en cada situación concreta; el criterio para el efecto debe ser la rareza y repentinidad del evento, pues ha de partirse del supuesto de que una persona diligente y cuidadosa en sus negocios debe prever los hechos normales, o frecuentes, o probables, según la naturaleza de dichos negocios, máxime si ella se ocupa habitualmente en estos, en forma que, al obligarse, es de presumir que asume los riesgos inherentes a ellos y que espera superarlos (…). Ospina Fernandez, citado por </w:t>
      </w:r>
      <w:r>
        <w:rPr>
          <w:b/>
          <w:i/>
          <w:sz w:val="18"/>
          <w:szCs w:val="18"/>
        </w:rPr>
        <w:t xml:space="preserve">Felipe Osterlig P. y Mario Castillo Freyre, </w:t>
      </w:r>
      <w:r>
        <w:rPr>
          <w:i/>
          <w:sz w:val="18"/>
          <w:szCs w:val="18"/>
        </w:rPr>
        <w:t>Op. Cit., Pág. 627 y 629 (Sobre ello, cabe precisar que en la legislación colombiana los términos caso fortuito o fuerza mayor son equivalentes y no revisten diferencias en cuanto a sus consecuencias).</w:t>
      </w:r>
    </w:p>
    <w:p w:rsidR="00673A30" w:rsidRDefault="00673A30" w:rsidP="00673A30">
      <w:pPr>
        <w:pStyle w:val="Textonotapie"/>
        <w:ind w:left="540"/>
        <w:rPr>
          <w:i/>
          <w:sz w:val="18"/>
          <w:szCs w:val="18"/>
          <w:lang w:val="es-PE"/>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6AB8" w:rsidRDefault="00836AB8" w:rsidP="00836AB8">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836AB8" w:rsidRDefault="00836AB8" w:rsidP="00836AB8">
    <w:pPr>
      <w:pStyle w:val="Encabezado"/>
      <w:rPr>
        <w:noProof/>
      </w:rPr>
    </w:pPr>
  </w:p>
  <w:p w:rsidR="00836AB8" w:rsidRDefault="00836AB8" w:rsidP="00836AB8">
    <w:pPr>
      <w:pStyle w:val="Encabezado"/>
      <w:rPr>
        <w:noProof/>
      </w:rPr>
    </w:pPr>
  </w:p>
  <w:p w:rsidR="00836AB8" w:rsidRDefault="00836AB8" w:rsidP="00836AB8">
    <w:pPr>
      <w:pStyle w:val="Encabezado"/>
      <w:rPr>
        <w:noProof/>
      </w:rPr>
    </w:pPr>
  </w:p>
  <w:p w:rsidR="00836AB8" w:rsidRDefault="00836AB8" w:rsidP="00836AB8">
    <w:pPr>
      <w:pStyle w:val="Encabezado"/>
      <w:jc w:val="center"/>
    </w:pPr>
    <w:r>
      <w:rPr>
        <w:rFonts w:ascii="Monotype Corsiva" w:hAnsi="Monotype Corsiva"/>
        <w:b/>
        <w:sz w:val="44"/>
        <w:szCs w:val="44"/>
      </w:rPr>
      <w:t xml:space="preserve">Resolución Nº   </w:t>
    </w:r>
    <w:r>
      <w:rPr>
        <w:rFonts w:ascii="Tahoma" w:hAnsi="Tahoma" w:cs="Tahoma"/>
        <w:b/>
        <w:sz w:val="44"/>
        <w:szCs w:val="44"/>
      </w:rPr>
      <w:t>714-2011-TC-S1</w:t>
    </w:r>
  </w:p>
  <w:p w:rsidR="00836AB8" w:rsidRDefault="00836AB8">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204BB"/>
    <w:multiLevelType w:val="hybridMultilevel"/>
    <w:tmpl w:val="9DDC7D40"/>
    <w:lvl w:ilvl="0" w:tplc="78364840">
      <w:start w:val="1"/>
      <w:numFmt w:val="decimal"/>
      <w:lvlText w:val="%1."/>
      <w:lvlJc w:val="left"/>
      <w:pPr>
        <w:ind w:left="720" w:hanging="360"/>
      </w:pPr>
      <w:rPr>
        <w:rFonts w:ascii="Tahoma" w:hAnsi="Tahoma" w:cs="Tahoma" w:hint="default"/>
        <w:b/>
        <w:i w:val="0"/>
        <w:sz w:val="22"/>
        <w:szCs w:val="22"/>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1">
    <w:nsid w:val="0916453D"/>
    <w:multiLevelType w:val="hybridMultilevel"/>
    <w:tmpl w:val="3F168A50"/>
    <w:lvl w:ilvl="0" w:tplc="92461B3C">
      <w:start w:val="1"/>
      <w:numFmt w:val="decimal"/>
      <w:lvlText w:val="%1."/>
      <w:lvlJc w:val="left"/>
      <w:pPr>
        <w:ind w:left="1120" w:hanging="360"/>
      </w:pPr>
      <w:rPr>
        <w:b/>
      </w:rPr>
    </w:lvl>
    <w:lvl w:ilvl="1" w:tplc="0C0A0019" w:tentative="1">
      <w:start w:val="1"/>
      <w:numFmt w:val="lowerLetter"/>
      <w:lvlText w:val="%2."/>
      <w:lvlJc w:val="left"/>
      <w:pPr>
        <w:ind w:left="1840" w:hanging="360"/>
      </w:pPr>
    </w:lvl>
    <w:lvl w:ilvl="2" w:tplc="0C0A001B" w:tentative="1">
      <w:start w:val="1"/>
      <w:numFmt w:val="lowerRoman"/>
      <w:lvlText w:val="%3."/>
      <w:lvlJc w:val="right"/>
      <w:pPr>
        <w:ind w:left="2560" w:hanging="180"/>
      </w:pPr>
    </w:lvl>
    <w:lvl w:ilvl="3" w:tplc="0C0A000F" w:tentative="1">
      <w:start w:val="1"/>
      <w:numFmt w:val="decimal"/>
      <w:lvlText w:val="%4."/>
      <w:lvlJc w:val="left"/>
      <w:pPr>
        <w:ind w:left="3280" w:hanging="360"/>
      </w:pPr>
    </w:lvl>
    <w:lvl w:ilvl="4" w:tplc="0C0A0019" w:tentative="1">
      <w:start w:val="1"/>
      <w:numFmt w:val="lowerLetter"/>
      <w:lvlText w:val="%5."/>
      <w:lvlJc w:val="left"/>
      <w:pPr>
        <w:ind w:left="4000" w:hanging="360"/>
      </w:pPr>
    </w:lvl>
    <w:lvl w:ilvl="5" w:tplc="0C0A001B" w:tentative="1">
      <w:start w:val="1"/>
      <w:numFmt w:val="lowerRoman"/>
      <w:lvlText w:val="%6."/>
      <w:lvlJc w:val="right"/>
      <w:pPr>
        <w:ind w:left="4720" w:hanging="180"/>
      </w:pPr>
    </w:lvl>
    <w:lvl w:ilvl="6" w:tplc="0C0A000F" w:tentative="1">
      <w:start w:val="1"/>
      <w:numFmt w:val="decimal"/>
      <w:lvlText w:val="%7."/>
      <w:lvlJc w:val="left"/>
      <w:pPr>
        <w:ind w:left="5440" w:hanging="360"/>
      </w:pPr>
    </w:lvl>
    <w:lvl w:ilvl="7" w:tplc="0C0A0019" w:tentative="1">
      <w:start w:val="1"/>
      <w:numFmt w:val="lowerLetter"/>
      <w:lvlText w:val="%8."/>
      <w:lvlJc w:val="left"/>
      <w:pPr>
        <w:ind w:left="6160" w:hanging="360"/>
      </w:pPr>
    </w:lvl>
    <w:lvl w:ilvl="8" w:tplc="0C0A001B" w:tentative="1">
      <w:start w:val="1"/>
      <w:numFmt w:val="lowerRoman"/>
      <w:lvlText w:val="%9."/>
      <w:lvlJc w:val="right"/>
      <w:pPr>
        <w:ind w:left="6880" w:hanging="180"/>
      </w:pPr>
    </w:lvl>
  </w:abstractNum>
  <w:abstractNum w:abstractNumId="2">
    <w:nsid w:val="0FB962BC"/>
    <w:multiLevelType w:val="hybridMultilevel"/>
    <w:tmpl w:val="36D600A0"/>
    <w:lvl w:ilvl="0" w:tplc="0C0A0001">
      <w:start w:val="1"/>
      <w:numFmt w:val="bullet"/>
      <w:lvlText w:val=""/>
      <w:lvlJc w:val="left"/>
      <w:pPr>
        <w:ind w:left="1571" w:hanging="360"/>
      </w:pPr>
      <w:rPr>
        <w:rFonts w:ascii="Symbol" w:hAnsi="Symbol" w:hint="default"/>
      </w:rPr>
    </w:lvl>
    <w:lvl w:ilvl="1" w:tplc="0C0A0003" w:tentative="1">
      <w:start w:val="1"/>
      <w:numFmt w:val="bullet"/>
      <w:lvlText w:val="o"/>
      <w:lvlJc w:val="left"/>
      <w:pPr>
        <w:ind w:left="2291" w:hanging="360"/>
      </w:pPr>
      <w:rPr>
        <w:rFonts w:ascii="Courier New" w:hAnsi="Courier New" w:cs="Courier New" w:hint="default"/>
      </w:rPr>
    </w:lvl>
    <w:lvl w:ilvl="2" w:tplc="0C0A0005" w:tentative="1">
      <w:start w:val="1"/>
      <w:numFmt w:val="bullet"/>
      <w:lvlText w:val=""/>
      <w:lvlJc w:val="left"/>
      <w:pPr>
        <w:ind w:left="3011" w:hanging="360"/>
      </w:pPr>
      <w:rPr>
        <w:rFonts w:ascii="Wingdings" w:hAnsi="Wingdings" w:hint="default"/>
      </w:rPr>
    </w:lvl>
    <w:lvl w:ilvl="3" w:tplc="0C0A0001" w:tentative="1">
      <w:start w:val="1"/>
      <w:numFmt w:val="bullet"/>
      <w:lvlText w:val=""/>
      <w:lvlJc w:val="left"/>
      <w:pPr>
        <w:ind w:left="3731" w:hanging="360"/>
      </w:pPr>
      <w:rPr>
        <w:rFonts w:ascii="Symbol" w:hAnsi="Symbol" w:hint="default"/>
      </w:rPr>
    </w:lvl>
    <w:lvl w:ilvl="4" w:tplc="0C0A0003" w:tentative="1">
      <w:start w:val="1"/>
      <w:numFmt w:val="bullet"/>
      <w:lvlText w:val="o"/>
      <w:lvlJc w:val="left"/>
      <w:pPr>
        <w:ind w:left="4451" w:hanging="360"/>
      </w:pPr>
      <w:rPr>
        <w:rFonts w:ascii="Courier New" w:hAnsi="Courier New" w:cs="Courier New" w:hint="default"/>
      </w:rPr>
    </w:lvl>
    <w:lvl w:ilvl="5" w:tplc="0C0A0005" w:tentative="1">
      <w:start w:val="1"/>
      <w:numFmt w:val="bullet"/>
      <w:lvlText w:val=""/>
      <w:lvlJc w:val="left"/>
      <w:pPr>
        <w:ind w:left="5171" w:hanging="360"/>
      </w:pPr>
      <w:rPr>
        <w:rFonts w:ascii="Wingdings" w:hAnsi="Wingdings" w:hint="default"/>
      </w:rPr>
    </w:lvl>
    <w:lvl w:ilvl="6" w:tplc="0C0A0001" w:tentative="1">
      <w:start w:val="1"/>
      <w:numFmt w:val="bullet"/>
      <w:lvlText w:val=""/>
      <w:lvlJc w:val="left"/>
      <w:pPr>
        <w:ind w:left="5891" w:hanging="360"/>
      </w:pPr>
      <w:rPr>
        <w:rFonts w:ascii="Symbol" w:hAnsi="Symbol" w:hint="default"/>
      </w:rPr>
    </w:lvl>
    <w:lvl w:ilvl="7" w:tplc="0C0A0003" w:tentative="1">
      <w:start w:val="1"/>
      <w:numFmt w:val="bullet"/>
      <w:lvlText w:val="o"/>
      <w:lvlJc w:val="left"/>
      <w:pPr>
        <w:ind w:left="6611" w:hanging="360"/>
      </w:pPr>
      <w:rPr>
        <w:rFonts w:ascii="Courier New" w:hAnsi="Courier New" w:cs="Courier New" w:hint="default"/>
      </w:rPr>
    </w:lvl>
    <w:lvl w:ilvl="8" w:tplc="0C0A0005" w:tentative="1">
      <w:start w:val="1"/>
      <w:numFmt w:val="bullet"/>
      <w:lvlText w:val=""/>
      <w:lvlJc w:val="left"/>
      <w:pPr>
        <w:ind w:left="7331" w:hanging="360"/>
      </w:pPr>
      <w:rPr>
        <w:rFonts w:ascii="Wingdings" w:hAnsi="Wingdings" w:hint="default"/>
      </w:rPr>
    </w:lvl>
  </w:abstractNum>
  <w:abstractNum w:abstractNumId="3">
    <w:nsid w:val="16FC0361"/>
    <w:multiLevelType w:val="hybridMultilevel"/>
    <w:tmpl w:val="711A8A4E"/>
    <w:lvl w:ilvl="0" w:tplc="7D4EB756">
      <w:start w:val="1"/>
      <w:numFmt w:val="decimal"/>
      <w:lvlText w:val="%1."/>
      <w:lvlJc w:val="left"/>
      <w:pPr>
        <w:ind w:left="720" w:hanging="360"/>
      </w:pPr>
      <w:rPr>
        <w:rFonts w:ascii="Tahoma" w:hAnsi="Tahoma" w:cs="Tahoma" w:hint="default"/>
        <w:b/>
        <w:sz w:val="2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232456E8"/>
    <w:multiLevelType w:val="hybridMultilevel"/>
    <w:tmpl w:val="981AC1CC"/>
    <w:lvl w:ilvl="0" w:tplc="4B0A20F0">
      <w:start w:val="1"/>
      <w:numFmt w:val="decimal"/>
      <w:lvlText w:val="%1."/>
      <w:lvlJc w:val="left"/>
      <w:pPr>
        <w:ind w:left="360" w:hanging="360"/>
      </w:pPr>
      <w:rPr>
        <w:rFonts w:hint="default"/>
        <w:b/>
        <w:sz w:val="20"/>
        <w:szCs w:val="20"/>
      </w:r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5">
    <w:nsid w:val="32466705"/>
    <w:multiLevelType w:val="multilevel"/>
    <w:tmpl w:val="33B89EAC"/>
    <w:lvl w:ilvl="0">
      <w:start w:val="1"/>
      <w:numFmt w:val="decimal"/>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373701B0"/>
    <w:multiLevelType w:val="hybridMultilevel"/>
    <w:tmpl w:val="7C207464"/>
    <w:lvl w:ilvl="0" w:tplc="11E629EC">
      <w:start w:val="1"/>
      <w:numFmt w:val="decimal"/>
      <w:lvlText w:val="%1."/>
      <w:lvlJc w:val="left"/>
      <w:pPr>
        <w:tabs>
          <w:tab w:val="num" w:pos="340"/>
        </w:tabs>
        <w:ind w:left="340" w:hanging="340"/>
      </w:pPr>
      <w:rPr>
        <w:rFonts w:ascii="Tahoma" w:hAnsi="Tahoma" w:cs="Times New Roman" w:hint="default"/>
        <w:b/>
        <w:i w:val="0"/>
        <w:sz w:val="20"/>
        <w:szCs w:val="20"/>
      </w:rPr>
    </w:lvl>
    <w:lvl w:ilvl="1" w:tplc="BEDC8DE4">
      <w:start w:val="1"/>
      <w:numFmt w:val="lowerLetter"/>
      <w:lvlText w:val="%2."/>
      <w:lvlJc w:val="left"/>
      <w:pPr>
        <w:tabs>
          <w:tab w:val="num" w:pos="1440"/>
        </w:tabs>
        <w:ind w:left="1440" w:hanging="360"/>
      </w:pPr>
      <w:rPr>
        <w:rFonts w:cs="Times New Roman" w:hint="default"/>
        <w:b/>
      </w:rPr>
    </w:lvl>
    <w:lvl w:ilvl="2" w:tplc="0C0A001B" w:tentative="1">
      <w:start w:val="1"/>
      <w:numFmt w:val="lowerRoman"/>
      <w:lvlText w:val="%3."/>
      <w:lvlJc w:val="right"/>
      <w:pPr>
        <w:tabs>
          <w:tab w:val="num" w:pos="2160"/>
        </w:tabs>
        <w:ind w:left="2160" w:hanging="180"/>
      </w:pPr>
      <w:rPr>
        <w:rFonts w:cs="Times New Roman"/>
      </w:rPr>
    </w:lvl>
    <w:lvl w:ilvl="3" w:tplc="0C0A001B">
      <w:start w:val="1"/>
      <w:numFmt w:val="lowerRoman"/>
      <w:lvlText w:val="%4."/>
      <w:lvlJc w:val="right"/>
      <w:pPr>
        <w:tabs>
          <w:tab w:val="num" w:pos="2880"/>
        </w:tabs>
        <w:ind w:left="2880" w:hanging="360"/>
      </w:pPr>
      <w:rPr>
        <w:rFonts w:cs="Times New Roman" w:hint="default"/>
        <w:b/>
        <w:i w:val="0"/>
        <w:sz w:val="20"/>
        <w:szCs w:val="20"/>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7">
    <w:nsid w:val="3AFB5C81"/>
    <w:multiLevelType w:val="hybridMultilevel"/>
    <w:tmpl w:val="306AC5BC"/>
    <w:lvl w:ilvl="0" w:tplc="C784CF10">
      <w:start w:val="1"/>
      <w:numFmt w:val="lowerLetter"/>
      <w:lvlText w:val="%1."/>
      <w:lvlJc w:val="left"/>
      <w:pPr>
        <w:ind w:left="786" w:hanging="360"/>
      </w:pPr>
      <w:rPr>
        <w:rFonts w:hint="default"/>
      </w:rPr>
    </w:lvl>
    <w:lvl w:ilvl="1" w:tplc="0C0A0019" w:tentative="1">
      <w:start w:val="1"/>
      <w:numFmt w:val="lowerLetter"/>
      <w:lvlText w:val="%2."/>
      <w:lvlJc w:val="left"/>
      <w:pPr>
        <w:ind w:left="1506" w:hanging="360"/>
      </w:pPr>
    </w:lvl>
    <w:lvl w:ilvl="2" w:tplc="0C0A001B" w:tentative="1">
      <w:start w:val="1"/>
      <w:numFmt w:val="lowerRoman"/>
      <w:lvlText w:val="%3."/>
      <w:lvlJc w:val="right"/>
      <w:pPr>
        <w:ind w:left="2226" w:hanging="180"/>
      </w:pPr>
    </w:lvl>
    <w:lvl w:ilvl="3" w:tplc="0C0A000F" w:tentative="1">
      <w:start w:val="1"/>
      <w:numFmt w:val="decimal"/>
      <w:lvlText w:val="%4."/>
      <w:lvlJc w:val="left"/>
      <w:pPr>
        <w:ind w:left="2946" w:hanging="360"/>
      </w:pPr>
    </w:lvl>
    <w:lvl w:ilvl="4" w:tplc="0C0A0019" w:tentative="1">
      <w:start w:val="1"/>
      <w:numFmt w:val="lowerLetter"/>
      <w:lvlText w:val="%5."/>
      <w:lvlJc w:val="left"/>
      <w:pPr>
        <w:ind w:left="3666" w:hanging="360"/>
      </w:pPr>
    </w:lvl>
    <w:lvl w:ilvl="5" w:tplc="0C0A001B" w:tentative="1">
      <w:start w:val="1"/>
      <w:numFmt w:val="lowerRoman"/>
      <w:lvlText w:val="%6."/>
      <w:lvlJc w:val="right"/>
      <w:pPr>
        <w:ind w:left="4386" w:hanging="180"/>
      </w:pPr>
    </w:lvl>
    <w:lvl w:ilvl="6" w:tplc="0C0A000F" w:tentative="1">
      <w:start w:val="1"/>
      <w:numFmt w:val="decimal"/>
      <w:lvlText w:val="%7."/>
      <w:lvlJc w:val="left"/>
      <w:pPr>
        <w:ind w:left="5106" w:hanging="360"/>
      </w:pPr>
    </w:lvl>
    <w:lvl w:ilvl="7" w:tplc="0C0A0019" w:tentative="1">
      <w:start w:val="1"/>
      <w:numFmt w:val="lowerLetter"/>
      <w:lvlText w:val="%8."/>
      <w:lvlJc w:val="left"/>
      <w:pPr>
        <w:ind w:left="5826" w:hanging="360"/>
      </w:pPr>
    </w:lvl>
    <w:lvl w:ilvl="8" w:tplc="0C0A001B" w:tentative="1">
      <w:start w:val="1"/>
      <w:numFmt w:val="lowerRoman"/>
      <w:lvlText w:val="%9."/>
      <w:lvlJc w:val="right"/>
      <w:pPr>
        <w:ind w:left="6546" w:hanging="180"/>
      </w:pPr>
    </w:lvl>
  </w:abstractNum>
  <w:abstractNum w:abstractNumId="8">
    <w:nsid w:val="49C83885"/>
    <w:multiLevelType w:val="hybridMultilevel"/>
    <w:tmpl w:val="F566D760"/>
    <w:lvl w:ilvl="0" w:tplc="0C0A0001">
      <w:start w:val="1"/>
      <w:numFmt w:val="bullet"/>
      <w:lvlText w:val=""/>
      <w:lvlJc w:val="left"/>
      <w:pPr>
        <w:ind w:left="1060" w:hanging="360"/>
      </w:pPr>
      <w:rPr>
        <w:rFonts w:ascii="Symbol" w:hAnsi="Symbol" w:hint="default"/>
      </w:rPr>
    </w:lvl>
    <w:lvl w:ilvl="1" w:tplc="0C0A0003" w:tentative="1">
      <w:start w:val="1"/>
      <w:numFmt w:val="bullet"/>
      <w:lvlText w:val="o"/>
      <w:lvlJc w:val="left"/>
      <w:pPr>
        <w:ind w:left="1780" w:hanging="360"/>
      </w:pPr>
      <w:rPr>
        <w:rFonts w:ascii="Courier New" w:hAnsi="Courier New" w:cs="Courier New" w:hint="default"/>
      </w:rPr>
    </w:lvl>
    <w:lvl w:ilvl="2" w:tplc="0C0A0005" w:tentative="1">
      <w:start w:val="1"/>
      <w:numFmt w:val="bullet"/>
      <w:lvlText w:val=""/>
      <w:lvlJc w:val="left"/>
      <w:pPr>
        <w:ind w:left="2500" w:hanging="360"/>
      </w:pPr>
      <w:rPr>
        <w:rFonts w:ascii="Wingdings" w:hAnsi="Wingdings" w:hint="default"/>
      </w:rPr>
    </w:lvl>
    <w:lvl w:ilvl="3" w:tplc="0C0A0001" w:tentative="1">
      <w:start w:val="1"/>
      <w:numFmt w:val="bullet"/>
      <w:lvlText w:val=""/>
      <w:lvlJc w:val="left"/>
      <w:pPr>
        <w:ind w:left="3220" w:hanging="360"/>
      </w:pPr>
      <w:rPr>
        <w:rFonts w:ascii="Symbol" w:hAnsi="Symbol" w:hint="default"/>
      </w:rPr>
    </w:lvl>
    <w:lvl w:ilvl="4" w:tplc="0C0A0003" w:tentative="1">
      <w:start w:val="1"/>
      <w:numFmt w:val="bullet"/>
      <w:lvlText w:val="o"/>
      <w:lvlJc w:val="left"/>
      <w:pPr>
        <w:ind w:left="3940" w:hanging="360"/>
      </w:pPr>
      <w:rPr>
        <w:rFonts w:ascii="Courier New" w:hAnsi="Courier New" w:cs="Courier New" w:hint="default"/>
      </w:rPr>
    </w:lvl>
    <w:lvl w:ilvl="5" w:tplc="0C0A0005" w:tentative="1">
      <w:start w:val="1"/>
      <w:numFmt w:val="bullet"/>
      <w:lvlText w:val=""/>
      <w:lvlJc w:val="left"/>
      <w:pPr>
        <w:ind w:left="4660" w:hanging="360"/>
      </w:pPr>
      <w:rPr>
        <w:rFonts w:ascii="Wingdings" w:hAnsi="Wingdings" w:hint="default"/>
      </w:rPr>
    </w:lvl>
    <w:lvl w:ilvl="6" w:tplc="0C0A0001" w:tentative="1">
      <w:start w:val="1"/>
      <w:numFmt w:val="bullet"/>
      <w:lvlText w:val=""/>
      <w:lvlJc w:val="left"/>
      <w:pPr>
        <w:ind w:left="5380" w:hanging="360"/>
      </w:pPr>
      <w:rPr>
        <w:rFonts w:ascii="Symbol" w:hAnsi="Symbol" w:hint="default"/>
      </w:rPr>
    </w:lvl>
    <w:lvl w:ilvl="7" w:tplc="0C0A0003" w:tentative="1">
      <w:start w:val="1"/>
      <w:numFmt w:val="bullet"/>
      <w:lvlText w:val="o"/>
      <w:lvlJc w:val="left"/>
      <w:pPr>
        <w:ind w:left="6100" w:hanging="360"/>
      </w:pPr>
      <w:rPr>
        <w:rFonts w:ascii="Courier New" w:hAnsi="Courier New" w:cs="Courier New" w:hint="default"/>
      </w:rPr>
    </w:lvl>
    <w:lvl w:ilvl="8" w:tplc="0C0A0005" w:tentative="1">
      <w:start w:val="1"/>
      <w:numFmt w:val="bullet"/>
      <w:lvlText w:val=""/>
      <w:lvlJc w:val="left"/>
      <w:pPr>
        <w:ind w:left="6820" w:hanging="360"/>
      </w:pPr>
      <w:rPr>
        <w:rFonts w:ascii="Wingdings" w:hAnsi="Wingdings" w:hint="default"/>
      </w:rPr>
    </w:lvl>
  </w:abstractNum>
  <w:abstractNum w:abstractNumId="9">
    <w:nsid w:val="4DC96DE1"/>
    <w:multiLevelType w:val="hybridMultilevel"/>
    <w:tmpl w:val="9FB68D96"/>
    <w:lvl w:ilvl="0" w:tplc="0C0A0013">
      <w:start w:val="1"/>
      <w:numFmt w:val="upp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53966D03"/>
    <w:multiLevelType w:val="hybridMultilevel"/>
    <w:tmpl w:val="6CB4BA48"/>
    <w:lvl w:ilvl="0" w:tplc="D95AD4BE">
      <w:start w:val="1"/>
      <w:numFmt w:val="upperRoman"/>
      <w:lvlText w:val="%1."/>
      <w:lvlJc w:val="left"/>
      <w:pPr>
        <w:ind w:left="1080" w:hanging="72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11">
    <w:nsid w:val="5D8F128C"/>
    <w:multiLevelType w:val="hybridMultilevel"/>
    <w:tmpl w:val="6D084512"/>
    <w:lvl w:ilvl="0" w:tplc="0C0A0001">
      <w:start w:val="1"/>
      <w:numFmt w:val="bullet"/>
      <w:lvlText w:val=""/>
      <w:lvlJc w:val="left"/>
      <w:pPr>
        <w:tabs>
          <w:tab w:val="num" w:pos="340"/>
        </w:tabs>
        <w:ind w:left="340" w:hanging="340"/>
      </w:pPr>
      <w:rPr>
        <w:rFonts w:ascii="Symbol" w:hAnsi="Symbol" w:hint="default"/>
        <w:b/>
        <w:i w:val="0"/>
        <w:sz w:val="20"/>
        <w:szCs w:val="20"/>
      </w:rPr>
    </w:lvl>
    <w:lvl w:ilvl="1" w:tplc="BEDC8DE4">
      <w:start w:val="1"/>
      <w:numFmt w:val="lowerLetter"/>
      <w:lvlText w:val="%2."/>
      <w:lvlJc w:val="left"/>
      <w:pPr>
        <w:tabs>
          <w:tab w:val="num" w:pos="1440"/>
        </w:tabs>
        <w:ind w:left="1440" w:hanging="360"/>
      </w:pPr>
      <w:rPr>
        <w:rFonts w:cs="Times New Roman" w:hint="default"/>
        <w:b/>
      </w:rPr>
    </w:lvl>
    <w:lvl w:ilvl="2" w:tplc="0C0A001B" w:tentative="1">
      <w:start w:val="1"/>
      <w:numFmt w:val="lowerRoman"/>
      <w:lvlText w:val="%3."/>
      <w:lvlJc w:val="right"/>
      <w:pPr>
        <w:tabs>
          <w:tab w:val="num" w:pos="2160"/>
        </w:tabs>
        <w:ind w:left="2160" w:hanging="180"/>
      </w:pPr>
      <w:rPr>
        <w:rFonts w:cs="Times New Roman"/>
      </w:rPr>
    </w:lvl>
    <w:lvl w:ilvl="3" w:tplc="0C0A001B">
      <w:start w:val="1"/>
      <w:numFmt w:val="lowerRoman"/>
      <w:lvlText w:val="%4."/>
      <w:lvlJc w:val="right"/>
      <w:pPr>
        <w:tabs>
          <w:tab w:val="num" w:pos="2880"/>
        </w:tabs>
        <w:ind w:left="2880" w:hanging="360"/>
      </w:pPr>
      <w:rPr>
        <w:rFonts w:cs="Times New Roman" w:hint="default"/>
        <w:b/>
        <w:i w:val="0"/>
        <w:sz w:val="20"/>
        <w:szCs w:val="20"/>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2">
    <w:nsid w:val="5FDC570C"/>
    <w:multiLevelType w:val="hybridMultilevel"/>
    <w:tmpl w:val="4C80291E"/>
    <w:lvl w:ilvl="0" w:tplc="68225D50">
      <w:start w:val="2"/>
      <w:numFmt w:val="upp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13">
    <w:nsid w:val="77500BCF"/>
    <w:multiLevelType w:val="hybridMultilevel"/>
    <w:tmpl w:val="E43A4BC0"/>
    <w:lvl w:ilvl="0" w:tplc="0C0A0001">
      <w:start w:val="1"/>
      <w:numFmt w:val="bullet"/>
      <w:lvlText w:val=""/>
      <w:lvlJc w:val="left"/>
      <w:pPr>
        <w:ind w:left="1260" w:hanging="360"/>
      </w:pPr>
      <w:rPr>
        <w:rFonts w:ascii="Symbol" w:hAnsi="Symbol" w:hint="default"/>
      </w:rPr>
    </w:lvl>
    <w:lvl w:ilvl="1" w:tplc="0C0A0001">
      <w:start w:val="1"/>
      <w:numFmt w:val="bullet"/>
      <w:lvlText w:val=""/>
      <w:lvlJc w:val="left"/>
      <w:pPr>
        <w:ind w:left="1980" w:hanging="360"/>
      </w:pPr>
      <w:rPr>
        <w:rFonts w:ascii="Symbol" w:hAnsi="Symbol" w:hint="default"/>
      </w:rPr>
    </w:lvl>
    <w:lvl w:ilvl="2" w:tplc="0C0A0005">
      <w:start w:val="1"/>
      <w:numFmt w:val="bullet"/>
      <w:lvlText w:val=""/>
      <w:lvlJc w:val="left"/>
      <w:pPr>
        <w:ind w:left="2700" w:hanging="360"/>
      </w:pPr>
      <w:rPr>
        <w:rFonts w:ascii="Wingdings" w:hAnsi="Wingdings" w:hint="default"/>
      </w:rPr>
    </w:lvl>
    <w:lvl w:ilvl="3" w:tplc="0C0A0001" w:tentative="1">
      <w:start w:val="1"/>
      <w:numFmt w:val="bullet"/>
      <w:lvlText w:val=""/>
      <w:lvlJc w:val="left"/>
      <w:pPr>
        <w:ind w:left="3420" w:hanging="360"/>
      </w:pPr>
      <w:rPr>
        <w:rFonts w:ascii="Symbol" w:hAnsi="Symbol" w:hint="default"/>
      </w:rPr>
    </w:lvl>
    <w:lvl w:ilvl="4" w:tplc="0C0A0003" w:tentative="1">
      <w:start w:val="1"/>
      <w:numFmt w:val="bullet"/>
      <w:lvlText w:val="o"/>
      <w:lvlJc w:val="left"/>
      <w:pPr>
        <w:ind w:left="4140" w:hanging="360"/>
      </w:pPr>
      <w:rPr>
        <w:rFonts w:ascii="Courier New" w:hAnsi="Courier New" w:cs="Courier New" w:hint="default"/>
      </w:rPr>
    </w:lvl>
    <w:lvl w:ilvl="5" w:tplc="0C0A0005" w:tentative="1">
      <w:start w:val="1"/>
      <w:numFmt w:val="bullet"/>
      <w:lvlText w:val=""/>
      <w:lvlJc w:val="left"/>
      <w:pPr>
        <w:ind w:left="4860" w:hanging="360"/>
      </w:pPr>
      <w:rPr>
        <w:rFonts w:ascii="Wingdings" w:hAnsi="Wingdings" w:hint="default"/>
      </w:rPr>
    </w:lvl>
    <w:lvl w:ilvl="6" w:tplc="0C0A0001" w:tentative="1">
      <w:start w:val="1"/>
      <w:numFmt w:val="bullet"/>
      <w:lvlText w:val=""/>
      <w:lvlJc w:val="left"/>
      <w:pPr>
        <w:ind w:left="5580" w:hanging="360"/>
      </w:pPr>
      <w:rPr>
        <w:rFonts w:ascii="Symbol" w:hAnsi="Symbol" w:hint="default"/>
      </w:rPr>
    </w:lvl>
    <w:lvl w:ilvl="7" w:tplc="0C0A0003" w:tentative="1">
      <w:start w:val="1"/>
      <w:numFmt w:val="bullet"/>
      <w:lvlText w:val="o"/>
      <w:lvlJc w:val="left"/>
      <w:pPr>
        <w:ind w:left="6300" w:hanging="360"/>
      </w:pPr>
      <w:rPr>
        <w:rFonts w:ascii="Courier New" w:hAnsi="Courier New" w:cs="Courier New" w:hint="default"/>
      </w:rPr>
    </w:lvl>
    <w:lvl w:ilvl="8" w:tplc="0C0A0005" w:tentative="1">
      <w:start w:val="1"/>
      <w:numFmt w:val="bullet"/>
      <w:lvlText w:val=""/>
      <w:lvlJc w:val="left"/>
      <w:pPr>
        <w:ind w:left="7020" w:hanging="360"/>
      </w:pPr>
      <w:rPr>
        <w:rFonts w:ascii="Wingdings" w:hAnsi="Wingdings" w:hint="default"/>
      </w:rPr>
    </w:lvl>
  </w:abstractNum>
  <w:num w:numId="1">
    <w:abstractNumId w:val="9"/>
  </w:num>
  <w:num w:numId="2">
    <w:abstractNumId w:val="6"/>
  </w:num>
  <w:num w:numId="3">
    <w:abstractNumId w:val="10"/>
  </w:num>
  <w:num w:numId="4">
    <w:abstractNumId w:val="1"/>
  </w:num>
  <w:num w:numId="5">
    <w:abstractNumId w:val="11"/>
  </w:num>
  <w:num w:numId="6">
    <w:abstractNumId w:val="2"/>
  </w:num>
  <w:num w:numId="7">
    <w:abstractNumId w:val="12"/>
  </w:num>
  <w:num w:numId="8">
    <w:abstractNumId w:val="8"/>
  </w:num>
  <w:num w:numId="9">
    <w:abstractNumId w:val="3"/>
  </w:num>
  <w:num w:numId="10">
    <w:abstractNumId w:val="13"/>
  </w:num>
  <w:num w:numId="11">
    <w:abstractNumId w:val="0"/>
  </w:num>
  <w:num w:numId="12">
    <w:abstractNumId w:val="4"/>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hdrShapeDefaults>
    <o:shapedefaults v:ext="edit" spidmax="4098"/>
  </w:hdrShapeDefaults>
  <w:footnotePr>
    <w:footnote w:id="0"/>
    <w:footnote w:id="1"/>
  </w:footnotePr>
  <w:endnotePr>
    <w:endnote w:id="0"/>
    <w:endnote w:id="1"/>
  </w:endnotePr>
  <w:compat/>
  <w:rsids>
    <w:rsidRoot w:val="008801FA"/>
    <w:rsid w:val="000D0E41"/>
    <w:rsid w:val="00196655"/>
    <w:rsid w:val="0024722A"/>
    <w:rsid w:val="00380127"/>
    <w:rsid w:val="003A074F"/>
    <w:rsid w:val="00496AD0"/>
    <w:rsid w:val="00673A30"/>
    <w:rsid w:val="00836AB8"/>
    <w:rsid w:val="00874921"/>
    <w:rsid w:val="008801FA"/>
    <w:rsid w:val="009D5D3D"/>
    <w:rsid w:val="009F14C6"/>
    <w:rsid w:val="00BF34EA"/>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01FA"/>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8801FA"/>
    <w:pPr>
      <w:spacing w:after="120"/>
    </w:pPr>
    <w:rPr>
      <w:sz w:val="16"/>
      <w:szCs w:val="16"/>
      <w:lang w:val="es-PE"/>
    </w:rPr>
  </w:style>
  <w:style w:type="character" w:customStyle="1" w:styleId="Textoindependiente3Car">
    <w:name w:val="Texto independiente 3 Car"/>
    <w:basedOn w:val="Fuentedeprrafopredeter"/>
    <w:link w:val="Textoindependiente3"/>
    <w:rsid w:val="008801FA"/>
    <w:rPr>
      <w:rFonts w:ascii="Times New Roman" w:eastAsia="Times New Roman" w:hAnsi="Times New Roman" w:cs="Times New Roman"/>
      <w:sz w:val="16"/>
      <w:szCs w:val="16"/>
      <w:lang w:val="es-PE" w:eastAsia="es-ES"/>
    </w:rPr>
  </w:style>
  <w:style w:type="paragraph" w:customStyle="1" w:styleId="Textoindependiente21">
    <w:name w:val="Texto independiente 21"/>
    <w:basedOn w:val="Normal"/>
    <w:rsid w:val="008801FA"/>
    <w:pPr>
      <w:jc w:val="both"/>
    </w:pPr>
    <w:rPr>
      <w:rFonts w:ascii="Tahoma" w:hAnsi="Tahoma"/>
      <w:sz w:val="22"/>
      <w:szCs w:val="20"/>
    </w:rPr>
  </w:style>
  <w:style w:type="paragraph" w:styleId="Prrafodelista">
    <w:name w:val="List Paragraph"/>
    <w:basedOn w:val="Normal"/>
    <w:uiPriority w:val="34"/>
    <w:qFormat/>
    <w:rsid w:val="008801FA"/>
    <w:pPr>
      <w:widowControl w:val="0"/>
      <w:suppressAutoHyphens/>
      <w:ind w:left="708"/>
    </w:pPr>
    <w:rPr>
      <w:szCs w:val="20"/>
      <w:lang w:val="es-ES_tradnl"/>
    </w:rPr>
  </w:style>
  <w:style w:type="paragraph" w:styleId="Piedepgina">
    <w:name w:val="footer"/>
    <w:basedOn w:val="Normal"/>
    <w:link w:val="PiedepginaCar"/>
    <w:uiPriority w:val="99"/>
    <w:unhideWhenUsed/>
    <w:rsid w:val="008801FA"/>
    <w:pPr>
      <w:tabs>
        <w:tab w:val="center" w:pos="4252"/>
        <w:tab w:val="right" w:pos="8504"/>
      </w:tabs>
    </w:pPr>
  </w:style>
  <w:style w:type="character" w:customStyle="1" w:styleId="PiedepginaCar">
    <w:name w:val="Pie de página Car"/>
    <w:basedOn w:val="Fuentedeprrafopredeter"/>
    <w:link w:val="Piedepgina"/>
    <w:uiPriority w:val="99"/>
    <w:rsid w:val="008801FA"/>
    <w:rPr>
      <w:rFonts w:ascii="Times New Roman" w:eastAsia="Times New Roman" w:hAnsi="Times New Roman" w:cs="Times New Roman"/>
      <w:sz w:val="24"/>
      <w:szCs w:val="24"/>
      <w:lang w:eastAsia="es-ES"/>
    </w:rPr>
  </w:style>
  <w:style w:type="paragraph" w:styleId="Textonotapie">
    <w:name w:val="footnote text"/>
    <w:aliases w:val="Car,Car Car Car,Car4, Car,Car Car1,Texto nota pie1,Texto independiente1, Car4,Body Text,Texto independiente11, Car2 Car Car Car Car Car, Car2 Car, Car2, Car1 Car, Car2 Car1 Car, Car Car Car, Car1,Car1 Car Car,Car1 Car,Texto independiente2"/>
    <w:basedOn w:val="Normal"/>
    <w:link w:val="TextonotapieCar"/>
    <w:rsid w:val="008801FA"/>
    <w:rPr>
      <w:sz w:val="20"/>
      <w:szCs w:val="20"/>
    </w:rPr>
  </w:style>
  <w:style w:type="character" w:customStyle="1" w:styleId="TextonotapieCar">
    <w:name w:val="Texto nota pie Car"/>
    <w:aliases w:val="Car Car,Car Car Car Car,Car4 Car, Car Car,Car Car1 Car,Texto nota pie1 Car,Texto independiente1 Car, Car4 Car,Body Text Car,Texto independiente11 Car, Car2 Car Car Car Car Car Car, Car2 Car Car, Car2 Car1, Car1 Car Car, Car1 Car1"/>
    <w:basedOn w:val="Fuentedeprrafopredeter"/>
    <w:link w:val="Textonotapie"/>
    <w:rsid w:val="008801FA"/>
    <w:rPr>
      <w:rFonts w:ascii="Times New Roman" w:eastAsia="Times New Roman" w:hAnsi="Times New Roman" w:cs="Times New Roman"/>
      <w:sz w:val="20"/>
      <w:szCs w:val="20"/>
      <w:lang w:eastAsia="es-ES"/>
    </w:rPr>
  </w:style>
  <w:style w:type="character" w:styleId="Refdenotaalpie">
    <w:name w:val="footnote reference"/>
    <w:basedOn w:val="Fuentedeprrafopredeter"/>
    <w:rsid w:val="008801FA"/>
    <w:rPr>
      <w:rFonts w:cs="Times New Roman"/>
      <w:vertAlign w:val="superscript"/>
    </w:rPr>
  </w:style>
  <w:style w:type="paragraph" w:styleId="Sangradetextonormal">
    <w:name w:val="Body Text Indent"/>
    <w:basedOn w:val="Normal"/>
    <w:link w:val="SangradetextonormalCar"/>
    <w:uiPriority w:val="99"/>
    <w:rsid w:val="008801FA"/>
    <w:pPr>
      <w:spacing w:after="120"/>
      <w:ind w:left="283"/>
    </w:pPr>
  </w:style>
  <w:style w:type="character" w:customStyle="1" w:styleId="SangradetextonormalCar">
    <w:name w:val="Sangría de texto normal Car"/>
    <w:basedOn w:val="Fuentedeprrafopredeter"/>
    <w:link w:val="Sangradetextonormal"/>
    <w:uiPriority w:val="99"/>
    <w:rsid w:val="008801FA"/>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rsid w:val="008801FA"/>
    <w:pPr>
      <w:spacing w:after="120"/>
    </w:pPr>
  </w:style>
  <w:style w:type="character" w:customStyle="1" w:styleId="TextoindependienteCar">
    <w:name w:val="Texto independiente Car"/>
    <w:basedOn w:val="Fuentedeprrafopredeter"/>
    <w:link w:val="Textoindependiente"/>
    <w:uiPriority w:val="99"/>
    <w:rsid w:val="008801FA"/>
    <w:rPr>
      <w:rFonts w:ascii="Times New Roman" w:eastAsia="Times New Roman" w:hAnsi="Times New Roman" w:cs="Times New Roman"/>
      <w:sz w:val="24"/>
      <w:szCs w:val="24"/>
      <w:lang w:eastAsia="es-ES"/>
    </w:rPr>
  </w:style>
  <w:style w:type="paragraph" w:customStyle="1" w:styleId="p1">
    <w:name w:val="p1"/>
    <w:basedOn w:val="Normal"/>
    <w:rsid w:val="008801FA"/>
    <w:pPr>
      <w:widowControl w:val="0"/>
      <w:tabs>
        <w:tab w:val="left" w:pos="16640"/>
      </w:tabs>
      <w:suppressAutoHyphens/>
      <w:spacing w:line="240" w:lineRule="atLeast"/>
      <w:ind w:left="7600"/>
      <w:jc w:val="both"/>
    </w:pPr>
    <w:rPr>
      <w:rFonts w:ascii="Times" w:hAnsi="Times"/>
      <w:szCs w:val="20"/>
      <w:lang w:eastAsia="ar-SA"/>
    </w:rPr>
  </w:style>
  <w:style w:type="table" w:styleId="Sombreadoclaro-nfasis4">
    <w:name w:val="Light Shading Accent 4"/>
    <w:basedOn w:val="Tablanormal"/>
    <w:uiPriority w:val="60"/>
    <w:rsid w:val="008801FA"/>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paragraph" w:styleId="HTMLconformatoprevio">
    <w:name w:val="HTML Preformatted"/>
    <w:basedOn w:val="Normal"/>
    <w:link w:val="HTMLconformatoprevioCar"/>
    <w:rsid w:val="00673A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conformatoprevioCar">
    <w:name w:val="HTML con formato previo Car"/>
    <w:basedOn w:val="Fuentedeprrafopredeter"/>
    <w:link w:val="HTMLconformatoprevio"/>
    <w:rsid w:val="00673A30"/>
    <w:rPr>
      <w:rFonts w:ascii="Courier New" w:eastAsia="Times New Roman" w:hAnsi="Courier New" w:cs="Courier New"/>
      <w:color w:val="000000"/>
      <w:sz w:val="20"/>
      <w:szCs w:val="20"/>
      <w:lang w:eastAsia="es-ES"/>
    </w:rPr>
  </w:style>
  <w:style w:type="paragraph" w:styleId="Lista3">
    <w:name w:val="List 3"/>
    <w:basedOn w:val="Normal"/>
    <w:uiPriority w:val="99"/>
    <w:unhideWhenUsed/>
    <w:rsid w:val="00673A30"/>
    <w:pPr>
      <w:spacing w:after="200" w:line="276" w:lineRule="auto"/>
      <w:ind w:left="849" w:hanging="283"/>
      <w:contextualSpacing/>
    </w:pPr>
    <w:rPr>
      <w:rFonts w:ascii="Calibri" w:eastAsia="Calibri" w:hAnsi="Calibri"/>
      <w:sz w:val="22"/>
      <w:szCs w:val="22"/>
      <w:lang w:eastAsia="en-US"/>
    </w:rPr>
  </w:style>
  <w:style w:type="paragraph" w:styleId="Sinespaciado">
    <w:name w:val="No Spacing"/>
    <w:uiPriority w:val="1"/>
    <w:qFormat/>
    <w:rsid w:val="00673A30"/>
    <w:pPr>
      <w:spacing w:after="0" w:line="240" w:lineRule="auto"/>
    </w:pPr>
    <w:rPr>
      <w:rFonts w:ascii="Calibri" w:eastAsia="Times New Roman" w:hAnsi="Calibri" w:cs="Times New Roman"/>
      <w:lang w:eastAsia="es-ES"/>
    </w:rPr>
  </w:style>
  <w:style w:type="paragraph" w:styleId="Encabezado">
    <w:name w:val="header"/>
    <w:aliases w:val="maria,h"/>
    <w:basedOn w:val="Normal"/>
    <w:link w:val="EncabezadoCar"/>
    <w:uiPriority w:val="99"/>
    <w:semiHidden/>
    <w:unhideWhenUsed/>
    <w:rsid w:val="00836AB8"/>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836AB8"/>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1210217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TotalTime>
  <Pages>12</Pages>
  <Words>5118</Words>
  <Characters>28150</Characters>
  <Application>Microsoft Office Word</Application>
  <DocSecurity>0</DocSecurity>
  <Lines>234</Lines>
  <Paragraphs>66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33202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mcervantes</dc:creator>
  <cp:keywords/>
  <dc:description/>
  <cp:lastModifiedBy>bcaceres</cp:lastModifiedBy>
  <cp:revision>7</cp:revision>
  <cp:lastPrinted>2011-04-27T19:10:00Z</cp:lastPrinted>
  <dcterms:created xsi:type="dcterms:W3CDTF">2011-04-27T18:47:00Z</dcterms:created>
  <dcterms:modified xsi:type="dcterms:W3CDTF">2011-05-09T14:23:00Z</dcterms:modified>
</cp:coreProperties>
</file>